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3F12" w:rsidRPr="00F7015D" w:rsidRDefault="008F3F12" w:rsidP="008F3F12">
      <w:pPr>
        <w:ind w:left="5940" w:hanging="5580"/>
        <w:jc w:val="center"/>
        <w:rPr>
          <w:b/>
          <w:bCs/>
        </w:rPr>
      </w:pPr>
      <w:r w:rsidRPr="00F7015D">
        <w:rPr>
          <w:b/>
          <w:sz w:val="28"/>
          <w:szCs w:val="28"/>
        </w:rPr>
        <w:t xml:space="preserve">  </w:t>
      </w:r>
      <w:r w:rsidRPr="00F7015D">
        <mc:AlternateContent>
          <mc:Choice Requires="wps">
            <w:drawing>
              <wp:anchor distT="0" distB="0" distL="114300" distR="114300" simplePos="0" relativeHeight="251656704" behindDoc="0" locked="0" layoutInCell="1" allowOverlap="1" wp14:anchorId="4774B1BC" wp14:editId="62D350BD">
                <wp:simplePos x="0" y="0"/>
                <wp:positionH relativeFrom="column">
                  <wp:posOffset>228600</wp:posOffset>
                </wp:positionH>
                <wp:positionV relativeFrom="paragraph">
                  <wp:posOffset>-457200</wp:posOffset>
                </wp:positionV>
                <wp:extent cx="6057900" cy="800100"/>
                <wp:effectExtent l="4445" t="0" r="0" b="635"/>
                <wp:wrapNone/>
                <wp:docPr id="2" name="Текстово 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3F12" w:rsidRDefault="008F3F12" w:rsidP="008F3F12">
                            <w:pPr>
                              <w:ind w:left="180"/>
                              <w:jc w:val="center"/>
                              <w:rPr>
                                <w:rFonts w:ascii="Calibri" w:hAnsi="Calibri"/>
                                <w:b/>
                                <w:sz w:val="64"/>
                                <w:szCs w:val="64"/>
                              </w:rPr>
                            </w:pPr>
                            <w:r>
                              <w:rPr>
                                <w:rFonts w:ascii="Calibri" w:hAnsi="Calibri"/>
                                <w:b/>
                                <w:sz w:val="64"/>
                                <w:szCs w:val="64"/>
                              </w:rPr>
                              <w:t>ОБЩИНА СУНГУРЛАРЕ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74B1BC" id="_x0000_t202" coordsize="21600,21600" o:spt="202" path="m,l,21600r21600,l21600,xe">
                <v:stroke joinstyle="miter"/>
                <v:path gradientshapeok="t" o:connecttype="rect"/>
              </v:shapetype>
              <v:shape id="Текстово поле 2" o:spid="_x0000_s1026" type="#_x0000_t202" style="position:absolute;left:0;text-align:left;margin-left:18pt;margin-top:-36pt;width:477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" filled="f" stroked="f">
                <v:textbox>
                  <w:txbxContent>
                    <w:p w:rsidR="008F3F12" w:rsidRDefault="008F3F12" w:rsidP="008F3F12">
                      <w:pPr>
                        <w:ind w:left="180"/>
                        <w:jc w:val="center"/>
                        <w:rPr>
                          <w:rFonts w:ascii="Calibri" w:hAnsi="Calibri"/>
                          <w:b/>
                          <w:sz w:val="64"/>
                          <w:szCs w:val="64"/>
                        </w:rPr>
                      </w:pPr>
                      <w:r>
                        <w:rPr>
                          <w:rFonts w:ascii="Calibri" w:hAnsi="Calibri"/>
                          <w:b/>
                          <w:sz w:val="64"/>
                          <w:szCs w:val="64"/>
                        </w:rPr>
                        <w:t>ОБЩИНА СУНГУРЛАРЕ</w:t>
                      </w:r>
                    </w:p>
                  </w:txbxContent>
                </v:textbox>
              </v:shape>
            </w:pict>
          </mc:Fallback>
        </mc:AlternateContent>
      </w:r>
      <w:r w:rsidRPr="00F7015D">
        <mc:AlternateContent>
          <mc:Choice Requires="wps">
            <w:drawing>
              <wp:anchor distT="0" distB="0" distL="114300" distR="114300" simplePos="0" relativeHeight="251657728" behindDoc="0" locked="0" layoutInCell="1" allowOverlap="1" wp14:anchorId="5FCD3B86" wp14:editId="5F716DDA">
                <wp:simplePos x="0" y="0"/>
                <wp:positionH relativeFrom="column">
                  <wp:posOffset>457200</wp:posOffset>
                </wp:positionH>
                <wp:positionV relativeFrom="paragraph">
                  <wp:posOffset>234315</wp:posOffset>
                </wp:positionV>
                <wp:extent cx="5829300" cy="0"/>
                <wp:effectExtent l="42545" t="43180" r="43180" b="42545"/>
                <wp:wrapNone/>
                <wp:docPr id="1" name="Право съединение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87917" id="Право съединение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8.45pt" to="49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" strokeweight="6pt">
                <v:stroke linestyle="thickBetweenThin"/>
              </v:line>
            </w:pict>
          </mc:Fallback>
        </mc:AlternateContent>
      </w:r>
      <w:r w:rsidR="00F7015D" w:rsidRPr="00F7015D">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5pt;margin-top:-36pt;width:77.4pt;height:81pt;z-index:-251657728;mso-position-horizontal-relative:text;mso-position-vertical-relative:text" fillcolor="#0c9">
            <v:imagedata r:id="rId5" o:title="" gain="79922f" blacklevel="1966f"/>
          </v:shape>
          <o:OLEObject Type="Embed" ProgID="PBrush" ShapeID="_x0000_s1026" DrawAspect="Content" ObjectID="_1616592869" r:id="rId6"/>
        </w:object>
      </w:r>
    </w:p>
    <w:p w:rsidR="008F3F12" w:rsidRPr="00F7015D" w:rsidRDefault="008F3F12" w:rsidP="008F3F12">
      <w:pPr>
        <w:spacing w:line="360" w:lineRule="auto"/>
        <w:jc w:val="both"/>
        <w:rPr>
          <w:b/>
          <w:color w:val="21252C"/>
          <w:shd w:val="clear" w:color="auto" w:fill="FFFFFF"/>
        </w:rPr>
      </w:pPr>
    </w:p>
    <w:p w:rsidR="008F3F12" w:rsidRPr="00F7015D" w:rsidRDefault="008F3F12" w:rsidP="008F3F12">
      <w:pPr>
        <w:spacing w:line="360" w:lineRule="auto"/>
        <w:ind w:firstLine="708"/>
        <w:jc w:val="both"/>
        <w:rPr>
          <w:b/>
          <w:color w:val="21252C"/>
          <w:shd w:val="clear" w:color="auto" w:fill="FFFFFF"/>
        </w:rPr>
      </w:pPr>
    </w:p>
    <w:p w:rsidR="008F3F12" w:rsidRPr="00F7015D" w:rsidRDefault="008F3F12" w:rsidP="008F3F12">
      <w:pPr>
        <w:jc w:val="center"/>
        <w:rPr>
          <w:b/>
          <w:sz w:val="28"/>
          <w:szCs w:val="28"/>
        </w:rPr>
      </w:pPr>
      <w:r w:rsidRPr="00F7015D">
        <w:rPr>
          <w:b/>
          <w:sz w:val="28"/>
          <w:szCs w:val="28"/>
        </w:rPr>
        <w:t xml:space="preserve">  ГОДИШЕН ОТЧЕТ  ЗА МЛАДЕЖТА ЗА 2018 ГОДИНА</w:t>
      </w:r>
    </w:p>
    <w:p w:rsidR="008F3F12" w:rsidRPr="00F7015D" w:rsidRDefault="008F3F12" w:rsidP="008F3F12">
      <w:pPr>
        <w:jc w:val="both"/>
      </w:pPr>
    </w:p>
    <w:p w:rsidR="008F3F12" w:rsidRPr="00F7015D" w:rsidRDefault="008F3F12" w:rsidP="008F3F12">
      <w:pPr>
        <w:ind w:firstLine="708"/>
        <w:jc w:val="both"/>
      </w:pPr>
      <w:r w:rsidRPr="00F7015D">
        <w:t xml:space="preserve">Годишният отчет за младежта се изготвя на основание чл. 5, ал. 2 от Закона за младежта, приет от Народното събрание на 5 април </w:t>
      </w:r>
      <w:smartTag w:uri="urn:schemas-microsoft-com:office:smarttags" w:element="metricconverter">
        <w:smartTagPr>
          <w:attr w:name="ProductID" w:val="2012 г"/>
        </w:smartTagPr>
        <w:r w:rsidRPr="00F7015D">
          <w:t>2012 г</w:t>
        </w:r>
      </w:smartTag>
      <w:r w:rsidRPr="00F7015D">
        <w:t>. (Обн. - ДВ, бр. 31 от 20.04.2012 г.).</w:t>
      </w:r>
    </w:p>
    <w:p w:rsidR="008F3F12" w:rsidRPr="00F7015D" w:rsidRDefault="008F3F12" w:rsidP="008F3F12">
      <w:pPr>
        <w:ind w:firstLine="708"/>
        <w:jc w:val="both"/>
      </w:pPr>
      <w:r w:rsidRPr="00F7015D">
        <w:t>Целта на отчета е да се представи информация за състоянието на младежта в община Сунгурларе  и предприетите мерки от страна на отговорните институции   в изпълнение на целите на държавната политика за младежта.</w:t>
      </w:r>
    </w:p>
    <w:p w:rsidR="008F3F12" w:rsidRPr="00F7015D" w:rsidRDefault="008F3F12" w:rsidP="008F3F12">
      <w:pPr>
        <w:ind w:firstLine="708"/>
        <w:jc w:val="both"/>
      </w:pPr>
      <w:r w:rsidRPr="00F7015D">
        <w:t>Структурата на отчета е съобразена с основните приоритети на политиката за младите хора в общината, залегнали в Националната стратегия за младежта (2010-2020) -насърчаване на икономическата активност и кариерното развитие на младите хора, подобряване на достъпа до информация и качествени услуги, насърчаване на здравословния начин на живот, превенция на социалното изключване на млади хора в неравностойно положение, развитие на младежкото доброволчество, повишаване на гражданската активност, развитие на младите хора в малките населени места и селските райони, развитие на международния и междукултурния диалог и повишаване на ролята на младите хора в превенцията на престъпността.</w:t>
      </w:r>
    </w:p>
    <w:p w:rsidR="008F3F12" w:rsidRPr="00F7015D" w:rsidRDefault="008F3F12" w:rsidP="008F3F12">
      <w:pPr>
        <w:ind w:firstLine="708"/>
      </w:pPr>
      <w:r w:rsidRPr="00F7015D">
        <w:t>Отчетът е изготвен на базата на обобщена информация от всички институции, чиято  дейност има отражение върху живота на младите хора в община Сунгурларе.</w:t>
      </w:r>
    </w:p>
    <w:p w:rsidR="008F3F12" w:rsidRPr="00F7015D" w:rsidRDefault="008F3F12" w:rsidP="008F3F12">
      <w:pPr>
        <w:ind w:firstLine="708"/>
      </w:pPr>
    </w:p>
    <w:p w:rsidR="008F3F12" w:rsidRPr="00F7015D" w:rsidRDefault="008F3F12" w:rsidP="008F3F12">
      <w:pPr>
        <w:ind w:firstLine="708"/>
        <w:rPr>
          <w:b/>
          <w:u w:val="single"/>
        </w:rPr>
      </w:pPr>
      <w:r w:rsidRPr="00F7015D">
        <w:rPr>
          <w:b/>
          <w:u w:val="single"/>
        </w:rPr>
        <w:t>НАСЕЛЕНИЕ И ДЕМОГРАФСКИ ПРОЦЕСИ ПРЕЗ 2018г.</w:t>
      </w:r>
    </w:p>
    <w:p w:rsidR="008F3F12" w:rsidRPr="00F7015D" w:rsidRDefault="008F3F12" w:rsidP="008F3F12">
      <w:pPr>
        <w:ind w:firstLine="708"/>
        <w:rPr>
          <w:b/>
          <w:u w:val="single"/>
        </w:rPr>
      </w:pPr>
    </w:p>
    <w:p w:rsidR="008F3F12" w:rsidRPr="00F7015D" w:rsidRDefault="008F3F12" w:rsidP="008F3F12">
      <w:pPr>
        <w:jc w:val="both"/>
        <w:rPr>
          <w:b/>
        </w:rPr>
      </w:pPr>
      <w:r w:rsidRPr="00F7015D">
        <w:rPr>
          <w:b/>
        </w:rPr>
        <w:t>I. Брой и структура на населението</w:t>
      </w:r>
    </w:p>
    <w:p w:rsidR="008F3F12" w:rsidRPr="00F7015D" w:rsidRDefault="008F3F12" w:rsidP="008F3F12">
      <w:pPr>
        <w:ind w:firstLine="708"/>
        <w:jc w:val="both"/>
      </w:pPr>
      <w:r w:rsidRPr="00F7015D">
        <w:t>Текущата демографска ситуация в Община Сунгурларе се характеризира с продължаващо намаляване и застаряване на населението и задържащо се високо равнище на общата и детската смъртност.</w:t>
      </w:r>
    </w:p>
    <w:p w:rsidR="008F3F12" w:rsidRPr="00F7015D" w:rsidRDefault="008F3F12" w:rsidP="008F3F12">
      <w:pPr>
        <w:ind w:firstLine="708"/>
        <w:jc w:val="both"/>
        <w:rPr>
          <w:color w:val="FF0000"/>
        </w:rPr>
      </w:pPr>
      <w:r w:rsidRPr="00F7015D">
        <w:t>Според информация, получена от ГРАО - Сунгурларе населението на Община Сунгурларе към 27.11.2018г. по постоянен адрес  е 13 251души.</w:t>
      </w:r>
    </w:p>
    <w:p w:rsidR="008F3F12" w:rsidRPr="00F7015D" w:rsidRDefault="008F3F12" w:rsidP="008F3F12">
      <w:pPr>
        <w:ind w:firstLine="708"/>
        <w:jc w:val="both"/>
        <w:rPr>
          <w:color w:val="FF0000"/>
        </w:rPr>
      </w:pPr>
    </w:p>
    <w:p w:rsidR="008F3F12" w:rsidRPr="00F7015D" w:rsidRDefault="008F3F12" w:rsidP="008F3F12">
      <w:pPr>
        <w:ind w:firstLine="708"/>
        <w:jc w:val="both"/>
        <w:rPr>
          <w:color w:val="FF0000"/>
        </w:rPr>
      </w:pPr>
    </w:p>
    <w:tbl>
      <w:tblPr>
        <w:tblStyle w:val="a4"/>
        <w:tblW w:w="0" w:type="auto"/>
        <w:tblLook w:val="01E0" w:firstRow="1" w:lastRow="1" w:firstColumn="1" w:lastColumn="1" w:noHBand="0" w:noVBand="0"/>
      </w:tblPr>
      <w:tblGrid>
        <w:gridCol w:w="2062"/>
        <w:gridCol w:w="1600"/>
        <w:gridCol w:w="1805"/>
        <w:gridCol w:w="1805"/>
        <w:gridCol w:w="1790"/>
      </w:tblGrid>
      <w:tr w:rsidR="008F3F12" w:rsidRPr="00F7015D" w:rsidTr="001B0158">
        <w:trPr>
          <w:trHeight w:val="593"/>
        </w:trPr>
        <w:tc>
          <w:tcPr>
            <w:tcW w:w="2127" w:type="dxa"/>
          </w:tcPr>
          <w:p w:rsidR="008F3F12" w:rsidRPr="00F7015D" w:rsidRDefault="008F3F12" w:rsidP="001B0158">
            <w:pPr>
              <w:jc w:val="both"/>
              <w:rPr>
                <w:b/>
              </w:rPr>
            </w:pPr>
            <w:r w:rsidRPr="00F7015D">
              <w:rPr>
                <w:b/>
              </w:rPr>
              <w:t>населено място</w:t>
            </w:r>
          </w:p>
        </w:tc>
        <w:tc>
          <w:tcPr>
            <w:tcW w:w="1670" w:type="dxa"/>
          </w:tcPr>
          <w:p w:rsidR="008F3F12" w:rsidRPr="00F7015D" w:rsidRDefault="008F3F12" w:rsidP="001B0158">
            <w:pPr>
              <w:jc w:val="center"/>
              <w:rPr>
                <w:b/>
              </w:rPr>
            </w:pPr>
            <w:r w:rsidRPr="00F7015D">
              <w:rPr>
                <w:b/>
              </w:rPr>
              <w:t>15-19</w:t>
            </w:r>
          </w:p>
          <w:p w:rsidR="008F3F12" w:rsidRPr="00F7015D" w:rsidRDefault="008F3F12" w:rsidP="001B0158">
            <w:pPr>
              <w:jc w:val="center"/>
              <w:rPr>
                <w:b/>
              </w:rPr>
            </w:pPr>
            <w:r w:rsidRPr="00F7015D">
              <w:rPr>
                <w:b/>
              </w:rPr>
              <w:t>м/ж</w:t>
            </w:r>
          </w:p>
        </w:tc>
        <w:tc>
          <w:tcPr>
            <w:tcW w:w="1899" w:type="dxa"/>
          </w:tcPr>
          <w:p w:rsidR="008F3F12" w:rsidRPr="00F7015D" w:rsidRDefault="008F3F12" w:rsidP="001B0158">
            <w:pPr>
              <w:jc w:val="center"/>
              <w:rPr>
                <w:b/>
              </w:rPr>
            </w:pPr>
            <w:r w:rsidRPr="00F7015D">
              <w:rPr>
                <w:b/>
              </w:rPr>
              <w:t>20-24</w:t>
            </w:r>
          </w:p>
          <w:p w:rsidR="008F3F12" w:rsidRPr="00F7015D" w:rsidRDefault="008F3F12" w:rsidP="001B0158">
            <w:pPr>
              <w:jc w:val="center"/>
              <w:rPr>
                <w:b/>
              </w:rPr>
            </w:pPr>
            <w:r w:rsidRPr="00F7015D">
              <w:rPr>
                <w:b/>
              </w:rPr>
              <w:t>м/ж</w:t>
            </w:r>
          </w:p>
        </w:tc>
        <w:tc>
          <w:tcPr>
            <w:tcW w:w="1899" w:type="dxa"/>
          </w:tcPr>
          <w:p w:rsidR="008F3F12" w:rsidRPr="00F7015D" w:rsidRDefault="008F3F12" w:rsidP="001B0158">
            <w:pPr>
              <w:jc w:val="center"/>
              <w:rPr>
                <w:b/>
              </w:rPr>
            </w:pPr>
            <w:r w:rsidRPr="00F7015D">
              <w:rPr>
                <w:b/>
              </w:rPr>
              <w:t>25-29</w:t>
            </w:r>
          </w:p>
          <w:p w:rsidR="008F3F12" w:rsidRPr="00F7015D" w:rsidRDefault="008F3F12" w:rsidP="001B0158">
            <w:pPr>
              <w:jc w:val="center"/>
              <w:rPr>
                <w:b/>
              </w:rPr>
            </w:pPr>
            <w:r w:rsidRPr="00F7015D">
              <w:rPr>
                <w:b/>
              </w:rPr>
              <w:t>м/ж</w:t>
            </w:r>
          </w:p>
        </w:tc>
        <w:tc>
          <w:tcPr>
            <w:tcW w:w="1900" w:type="dxa"/>
          </w:tcPr>
          <w:p w:rsidR="008F3F12" w:rsidRPr="00F7015D" w:rsidRDefault="008F3F12" w:rsidP="001B0158">
            <w:pPr>
              <w:jc w:val="both"/>
              <w:rPr>
                <w:b/>
              </w:rPr>
            </w:pPr>
            <w:r w:rsidRPr="00F7015D">
              <w:rPr>
                <w:b/>
              </w:rPr>
              <w:t>Общо 15-29</w:t>
            </w:r>
          </w:p>
          <w:p w:rsidR="008F3F12" w:rsidRPr="00F7015D" w:rsidRDefault="008F3F12" w:rsidP="001B0158">
            <w:pPr>
              <w:jc w:val="both"/>
              <w:rPr>
                <w:b/>
              </w:rPr>
            </w:pPr>
            <w:r w:rsidRPr="00F7015D">
              <w:rPr>
                <w:b/>
              </w:rPr>
              <w:t xml:space="preserve">      м / ж</w:t>
            </w:r>
          </w:p>
        </w:tc>
      </w:tr>
      <w:tr w:rsidR="008F3F12" w:rsidRPr="00F7015D" w:rsidTr="001B0158">
        <w:trPr>
          <w:trHeight w:val="288"/>
        </w:trPr>
        <w:tc>
          <w:tcPr>
            <w:tcW w:w="2127" w:type="dxa"/>
          </w:tcPr>
          <w:p w:rsidR="008F3F12" w:rsidRPr="00F7015D" w:rsidRDefault="008F3F12" w:rsidP="001B0158">
            <w:pPr>
              <w:jc w:val="both"/>
              <w:rPr>
                <w:b/>
              </w:rPr>
            </w:pPr>
            <w:r w:rsidRPr="00F7015D">
              <w:rPr>
                <w:b/>
              </w:rPr>
              <w:t>гр. Сунгурларе</w:t>
            </w:r>
          </w:p>
        </w:tc>
        <w:tc>
          <w:tcPr>
            <w:tcW w:w="1670" w:type="dxa"/>
          </w:tcPr>
          <w:p w:rsidR="008F3F12" w:rsidRPr="00F7015D" w:rsidRDefault="008F3F12" w:rsidP="001B0158">
            <w:pPr>
              <w:jc w:val="both"/>
            </w:pPr>
            <w:r w:rsidRPr="00F7015D">
              <w:t xml:space="preserve">   120/99</w:t>
            </w:r>
          </w:p>
        </w:tc>
        <w:tc>
          <w:tcPr>
            <w:tcW w:w="1899" w:type="dxa"/>
          </w:tcPr>
          <w:p w:rsidR="008F3F12" w:rsidRPr="00F7015D" w:rsidRDefault="008F3F12" w:rsidP="001B0158">
            <w:pPr>
              <w:jc w:val="both"/>
            </w:pPr>
            <w:r w:rsidRPr="00F7015D">
              <w:t xml:space="preserve">     93 / 98</w:t>
            </w:r>
          </w:p>
        </w:tc>
        <w:tc>
          <w:tcPr>
            <w:tcW w:w="1899" w:type="dxa"/>
          </w:tcPr>
          <w:p w:rsidR="008F3F12" w:rsidRPr="00F7015D" w:rsidRDefault="008F3F12" w:rsidP="001B0158">
            <w:pPr>
              <w:jc w:val="both"/>
            </w:pPr>
            <w:r w:rsidRPr="00F7015D">
              <w:t xml:space="preserve">   137/126</w:t>
            </w:r>
          </w:p>
        </w:tc>
        <w:tc>
          <w:tcPr>
            <w:tcW w:w="1900" w:type="dxa"/>
          </w:tcPr>
          <w:p w:rsidR="008F3F12" w:rsidRPr="00F7015D" w:rsidRDefault="008F3F12" w:rsidP="001B0158">
            <w:pPr>
              <w:jc w:val="both"/>
              <w:rPr>
                <w:color w:val="FF0000"/>
              </w:rPr>
            </w:pPr>
            <w:r w:rsidRPr="00F7015D">
              <w:rPr>
                <w:color w:val="FF0000"/>
              </w:rPr>
              <w:t xml:space="preserve"> </w:t>
            </w:r>
            <w:r w:rsidRPr="00F7015D">
              <w:t>673</w:t>
            </w:r>
            <w:r w:rsidRPr="00F7015D">
              <w:rPr>
                <w:color w:val="FF0000"/>
              </w:rPr>
              <w:t xml:space="preserve"> </w:t>
            </w:r>
          </w:p>
        </w:tc>
      </w:tr>
      <w:tr w:rsidR="008F3F12" w:rsidRPr="00F7015D" w:rsidTr="001B0158">
        <w:trPr>
          <w:trHeight w:val="288"/>
        </w:trPr>
        <w:tc>
          <w:tcPr>
            <w:tcW w:w="2127" w:type="dxa"/>
          </w:tcPr>
          <w:p w:rsidR="008F3F12" w:rsidRPr="00F7015D" w:rsidRDefault="008F3F12" w:rsidP="001B0158">
            <w:pPr>
              <w:jc w:val="both"/>
              <w:rPr>
                <w:b/>
              </w:rPr>
            </w:pPr>
            <w:r w:rsidRPr="00F7015D">
              <w:rPr>
                <w:b/>
              </w:rPr>
              <w:t>Община</w:t>
            </w:r>
          </w:p>
        </w:tc>
        <w:tc>
          <w:tcPr>
            <w:tcW w:w="1670" w:type="dxa"/>
          </w:tcPr>
          <w:p w:rsidR="008F3F12" w:rsidRPr="00F7015D" w:rsidRDefault="008F3F12" w:rsidP="001B0158">
            <w:pPr>
              <w:jc w:val="both"/>
            </w:pPr>
            <w:r w:rsidRPr="00F7015D">
              <w:t xml:space="preserve">  355/347</w:t>
            </w:r>
          </w:p>
        </w:tc>
        <w:tc>
          <w:tcPr>
            <w:tcW w:w="1899" w:type="dxa"/>
          </w:tcPr>
          <w:p w:rsidR="008F3F12" w:rsidRPr="00F7015D" w:rsidRDefault="008F3F12" w:rsidP="001B0158">
            <w:pPr>
              <w:jc w:val="both"/>
            </w:pPr>
            <w:r w:rsidRPr="00F7015D">
              <w:t xml:space="preserve">     349/348</w:t>
            </w:r>
          </w:p>
        </w:tc>
        <w:tc>
          <w:tcPr>
            <w:tcW w:w="1899" w:type="dxa"/>
          </w:tcPr>
          <w:p w:rsidR="008F3F12" w:rsidRPr="00F7015D" w:rsidRDefault="008F3F12" w:rsidP="001B0158">
            <w:pPr>
              <w:jc w:val="both"/>
            </w:pPr>
            <w:r w:rsidRPr="00F7015D">
              <w:t xml:space="preserve">   458/429</w:t>
            </w:r>
          </w:p>
        </w:tc>
        <w:tc>
          <w:tcPr>
            <w:tcW w:w="1900" w:type="dxa"/>
          </w:tcPr>
          <w:p w:rsidR="008F3F12" w:rsidRPr="00F7015D" w:rsidRDefault="008F3F12" w:rsidP="001B0158">
            <w:pPr>
              <w:jc w:val="both"/>
              <w:rPr>
                <w:color w:val="FF0000"/>
              </w:rPr>
            </w:pPr>
            <w:r w:rsidRPr="00F7015D">
              <w:t>2286</w:t>
            </w:r>
          </w:p>
        </w:tc>
      </w:tr>
      <w:tr w:rsidR="008F3F12" w:rsidRPr="00F7015D" w:rsidTr="001B0158">
        <w:trPr>
          <w:trHeight w:val="304"/>
        </w:trPr>
        <w:tc>
          <w:tcPr>
            <w:tcW w:w="2127" w:type="dxa"/>
          </w:tcPr>
          <w:p w:rsidR="008F3F12" w:rsidRPr="00F7015D" w:rsidRDefault="008F3F12" w:rsidP="001B0158">
            <w:pPr>
              <w:jc w:val="both"/>
              <w:rPr>
                <w:b/>
              </w:rPr>
            </w:pPr>
            <w:r w:rsidRPr="00F7015D">
              <w:rPr>
                <w:b/>
              </w:rPr>
              <w:t>Постоянен адрес</w:t>
            </w:r>
          </w:p>
        </w:tc>
        <w:tc>
          <w:tcPr>
            <w:tcW w:w="1670" w:type="dxa"/>
          </w:tcPr>
          <w:p w:rsidR="008F3F12" w:rsidRPr="00F7015D" w:rsidRDefault="008F3F12" w:rsidP="001B0158">
            <w:pPr>
              <w:jc w:val="both"/>
            </w:pPr>
          </w:p>
        </w:tc>
        <w:tc>
          <w:tcPr>
            <w:tcW w:w="1899" w:type="dxa"/>
          </w:tcPr>
          <w:p w:rsidR="008F3F12" w:rsidRPr="00F7015D" w:rsidRDefault="008F3F12" w:rsidP="001B0158">
            <w:pPr>
              <w:jc w:val="both"/>
            </w:pPr>
          </w:p>
        </w:tc>
        <w:tc>
          <w:tcPr>
            <w:tcW w:w="1899" w:type="dxa"/>
          </w:tcPr>
          <w:p w:rsidR="008F3F12" w:rsidRPr="00F7015D" w:rsidRDefault="008F3F12" w:rsidP="001B0158">
            <w:pPr>
              <w:jc w:val="both"/>
            </w:pPr>
          </w:p>
        </w:tc>
        <w:tc>
          <w:tcPr>
            <w:tcW w:w="1900" w:type="dxa"/>
          </w:tcPr>
          <w:p w:rsidR="008F3F12" w:rsidRPr="00F7015D" w:rsidRDefault="008F3F12" w:rsidP="001B0158">
            <w:pPr>
              <w:jc w:val="both"/>
            </w:pPr>
          </w:p>
        </w:tc>
      </w:tr>
    </w:tbl>
    <w:p w:rsidR="008F3F12" w:rsidRPr="00F7015D" w:rsidRDefault="008F3F12" w:rsidP="008F3F12">
      <w:pPr>
        <w:ind w:firstLine="708"/>
        <w:jc w:val="both"/>
        <w:rPr>
          <w:color w:val="FF0000"/>
        </w:rPr>
      </w:pPr>
    </w:p>
    <w:p w:rsidR="008F3F12" w:rsidRPr="00F7015D" w:rsidRDefault="008F3F12" w:rsidP="008F3F12">
      <w:pPr>
        <w:ind w:firstLine="708"/>
        <w:jc w:val="both"/>
        <w:rPr>
          <w:color w:val="FF0000"/>
        </w:rPr>
      </w:pPr>
    </w:p>
    <w:tbl>
      <w:tblPr>
        <w:tblStyle w:val="a4"/>
        <w:tblW w:w="0" w:type="auto"/>
        <w:tblLook w:val="01E0" w:firstRow="1" w:lastRow="1" w:firstColumn="1" w:lastColumn="1" w:noHBand="0" w:noVBand="0"/>
      </w:tblPr>
      <w:tblGrid>
        <w:gridCol w:w="2062"/>
        <w:gridCol w:w="1600"/>
        <w:gridCol w:w="1805"/>
        <w:gridCol w:w="1805"/>
        <w:gridCol w:w="1790"/>
      </w:tblGrid>
      <w:tr w:rsidR="008F3F12" w:rsidRPr="00F7015D" w:rsidTr="001B0158">
        <w:trPr>
          <w:trHeight w:val="593"/>
        </w:trPr>
        <w:tc>
          <w:tcPr>
            <w:tcW w:w="2127" w:type="dxa"/>
          </w:tcPr>
          <w:p w:rsidR="008F3F12" w:rsidRPr="00F7015D" w:rsidRDefault="008F3F12" w:rsidP="001B0158">
            <w:pPr>
              <w:jc w:val="both"/>
              <w:rPr>
                <w:b/>
              </w:rPr>
            </w:pPr>
            <w:r w:rsidRPr="00F7015D">
              <w:rPr>
                <w:b/>
              </w:rPr>
              <w:t>населено място</w:t>
            </w:r>
          </w:p>
        </w:tc>
        <w:tc>
          <w:tcPr>
            <w:tcW w:w="1670" w:type="dxa"/>
          </w:tcPr>
          <w:p w:rsidR="008F3F12" w:rsidRPr="00F7015D" w:rsidRDefault="008F3F12" w:rsidP="001B0158">
            <w:pPr>
              <w:jc w:val="center"/>
              <w:rPr>
                <w:b/>
              </w:rPr>
            </w:pPr>
            <w:r w:rsidRPr="00F7015D">
              <w:rPr>
                <w:b/>
              </w:rPr>
              <w:t>15-19</w:t>
            </w:r>
          </w:p>
          <w:p w:rsidR="008F3F12" w:rsidRPr="00F7015D" w:rsidRDefault="008F3F12" w:rsidP="001B0158">
            <w:pPr>
              <w:jc w:val="center"/>
              <w:rPr>
                <w:b/>
              </w:rPr>
            </w:pPr>
            <w:r w:rsidRPr="00F7015D">
              <w:rPr>
                <w:b/>
              </w:rPr>
              <w:t>м / ж</w:t>
            </w:r>
          </w:p>
        </w:tc>
        <w:tc>
          <w:tcPr>
            <w:tcW w:w="1899" w:type="dxa"/>
          </w:tcPr>
          <w:p w:rsidR="008F3F12" w:rsidRPr="00F7015D" w:rsidRDefault="008F3F12" w:rsidP="001B0158">
            <w:pPr>
              <w:jc w:val="center"/>
              <w:rPr>
                <w:b/>
              </w:rPr>
            </w:pPr>
            <w:r w:rsidRPr="00F7015D">
              <w:rPr>
                <w:b/>
              </w:rPr>
              <w:t>20-24</w:t>
            </w:r>
          </w:p>
          <w:p w:rsidR="008F3F12" w:rsidRPr="00F7015D" w:rsidRDefault="008F3F12" w:rsidP="001B0158">
            <w:pPr>
              <w:jc w:val="center"/>
              <w:rPr>
                <w:b/>
              </w:rPr>
            </w:pPr>
            <w:r w:rsidRPr="00F7015D">
              <w:rPr>
                <w:b/>
              </w:rPr>
              <w:t>м / ж</w:t>
            </w:r>
          </w:p>
        </w:tc>
        <w:tc>
          <w:tcPr>
            <w:tcW w:w="1899" w:type="dxa"/>
          </w:tcPr>
          <w:p w:rsidR="008F3F12" w:rsidRPr="00F7015D" w:rsidRDefault="008F3F12" w:rsidP="001B0158">
            <w:pPr>
              <w:jc w:val="center"/>
              <w:rPr>
                <w:b/>
              </w:rPr>
            </w:pPr>
            <w:r w:rsidRPr="00F7015D">
              <w:rPr>
                <w:b/>
              </w:rPr>
              <w:t>25-29</w:t>
            </w:r>
          </w:p>
          <w:p w:rsidR="008F3F12" w:rsidRPr="00F7015D" w:rsidRDefault="008F3F12" w:rsidP="001B0158">
            <w:pPr>
              <w:jc w:val="center"/>
              <w:rPr>
                <w:b/>
              </w:rPr>
            </w:pPr>
            <w:r w:rsidRPr="00F7015D">
              <w:rPr>
                <w:b/>
              </w:rPr>
              <w:t>м / ж</w:t>
            </w:r>
          </w:p>
        </w:tc>
        <w:tc>
          <w:tcPr>
            <w:tcW w:w="1900" w:type="dxa"/>
          </w:tcPr>
          <w:p w:rsidR="008F3F12" w:rsidRPr="00F7015D" w:rsidRDefault="008F3F12" w:rsidP="001B0158">
            <w:pPr>
              <w:jc w:val="both"/>
              <w:rPr>
                <w:b/>
              </w:rPr>
            </w:pPr>
            <w:r w:rsidRPr="00F7015D">
              <w:rPr>
                <w:b/>
              </w:rPr>
              <w:t>Общо 15-29</w:t>
            </w:r>
          </w:p>
          <w:p w:rsidR="008F3F12" w:rsidRPr="00F7015D" w:rsidRDefault="008F3F12" w:rsidP="001B0158">
            <w:pPr>
              <w:jc w:val="center"/>
              <w:rPr>
                <w:b/>
                <w:color w:val="FF0000"/>
              </w:rPr>
            </w:pPr>
            <w:r w:rsidRPr="00F7015D">
              <w:rPr>
                <w:b/>
              </w:rPr>
              <w:t>м / ж</w:t>
            </w:r>
          </w:p>
        </w:tc>
      </w:tr>
      <w:tr w:rsidR="008F3F12" w:rsidRPr="00F7015D" w:rsidTr="001B0158">
        <w:trPr>
          <w:trHeight w:val="288"/>
        </w:trPr>
        <w:tc>
          <w:tcPr>
            <w:tcW w:w="2127" w:type="dxa"/>
          </w:tcPr>
          <w:p w:rsidR="008F3F12" w:rsidRPr="00F7015D" w:rsidRDefault="008F3F12" w:rsidP="001B0158">
            <w:pPr>
              <w:jc w:val="both"/>
              <w:rPr>
                <w:b/>
              </w:rPr>
            </w:pPr>
            <w:r w:rsidRPr="00F7015D">
              <w:rPr>
                <w:b/>
              </w:rPr>
              <w:t>гр. Сунгурларе</w:t>
            </w:r>
          </w:p>
        </w:tc>
        <w:tc>
          <w:tcPr>
            <w:tcW w:w="1670" w:type="dxa"/>
          </w:tcPr>
          <w:p w:rsidR="008F3F12" w:rsidRPr="00F7015D" w:rsidRDefault="008F3F12" w:rsidP="001B0158">
            <w:pPr>
              <w:jc w:val="both"/>
            </w:pPr>
            <w:r w:rsidRPr="00F7015D">
              <w:t xml:space="preserve">   101/97</w:t>
            </w:r>
          </w:p>
        </w:tc>
        <w:tc>
          <w:tcPr>
            <w:tcW w:w="1899" w:type="dxa"/>
          </w:tcPr>
          <w:p w:rsidR="008F3F12" w:rsidRPr="00F7015D" w:rsidRDefault="008F3F12" w:rsidP="001B0158">
            <w:pPr>
              <w:jc w:val="both"/>
            </w:pPr>
            <w:r w:rsidRPr="00F7015D">
              <w:t xml:space="preserve">   90/72</w:t>
            </w:r>
          </w:p>
        </w:tc>
        <w:tc>
          <w:tcPr>
            <w:tcW w:w="1899" w:type="dxa"/>
          </w:tcPr>
          <w:p w:rsidR="008F3F12" w:rsidRPr="00F7015D" w:rsidRDefault="008F3F12" w:rsidP="001B0158">
            <w:pPr>
              <w:jc w:val="both"/>
            </w:pPr>
            <w:r w:rsidRPr="00F7015D">
              <w:t xml:space="preserve">  146/127</w:t>
            </w:r>
          </w:p>
        </w:tc>
        <w:tc>
          <w:tcPr>
            <w:tcW w:w="1900" w:type="dxa"/>
          </w:tcPr>
          <w:p w:rsidR="008F3F12" w:rsidRPr="00F7015D" w:rsidRDefault="008F3F12" w:rsidP="001B0158">
            <w:pPr>
              <w:jc w:val="both"/>
              <w:rPr>
                <w:color w:val="FF0000"/>
              </w:rPr>
            </w:pPr>
            <w:r w:rsidRPr="00F7015D">
              <w:rPr>
                <w:color w:val="FF0000"/>
              </w:rPr>
              <w:t xml:space="preserve">   </w:t>
            </w:r>
            <w:r w:rsidRPr="00F7015D">
              <w:t>633</w:t>
            </w:r>
          </w:p>
        </w:tc>
      </w:tr>
      <w:tr w:rsidR="008F3F12" w:rsidRPr="00F7015D" w:rsidTr="001B0158">
        <w:trPr>
          <w:trHeight w:val="288"/>
        </w:trPr>
        <w:tc>
          <w:tcPr>
            <w:tcW w:w="2127" w:type="dxa"/>
          </w:tcPr>
          <w:p w:rsidR="008F3F12" w:rsidRPr="00F7015D" w:rsidRDefault="008F3F12" w:rsidP="001B0158">
            <w:pPr>
              <w:jc w:val="both"/>
              <w:rPr>
                <w:b/>
              </w:rPr>
            </w:pPr>
            <w:r w:rsidRPr="00F7015D">
              <w:rPr>
                <w:b/>
              </w:rPr>
              <w:t>Община</w:t>
            </w:r>
          </w:p>
        </w:tc>
        <w:tc>
          <w:tcPr>
            <w:tcW w:w="1670" w:type="dxa"/>
          </w:tcPr>
          <w:p w:rsidR="008F3F12" w:rsidRPr="00F7015D" w:rsidRDefault="008F3F12" w:rsidP="001B0158">
            <w:pPr>
              <w:jc w:val="both"/>
            </w:pPr>
            <w:r w:rsidRPr="00F7015D">
              <w:t xml:space="preserve"> 310/310</w:t>
            </w:r>
          </w:p>
        </w:tc>
        <w:tc>
          <w:tcPr>
            <w:tcW w:w="1899" w:type="dxa"/>
          </w:tcPr>
          <w:p w:rsidR="008F3F12" w:rsidRPr="00F7015D" w:rsidRDefault="008F3F12" w:rsidP="001B0158">
            <w:pPr>
              <w:jc w:val="both"/>
            </w:pPr>
            <w:r w:rsidRPr="00F7015D">
              <w:t xml:space="preserve">   280/283</w:t>
            </w:r>
          </w:p>
        </w:tc>
        <w:tc>
          <w:tcPr>
            <w:tcW w:w="1899" w:type="dxa"/>
          </w:tcPr>
          <w:p w:rsidR="008F3F12" w:rsidRPr="00F7015D" w:rsidRDefault="008F3F12" w:rsidP="001B0158">
            <w:pPr>
              <w:jc w:val="both"/>
            </w:pPr>
            <w:r w:rsidRPr="00F7015D">
              <w:t xml:space="preserve">  387/374</w:t>
            </w:r>
          </w:p>
        </w:tc>
        <w:tc>
          <w:tcPr>
            <w:tcW w:w="1900" w:type="dxa"/>
          </w:tcPr>
          <w:p w:rsidR="008F3F12" w:rsidRPr="00F7015D" w:rsidRDefault="008F3F12" w:rsidP="001B0158">
            <w:pPr>
              <w:jc w:val="both"/>
              <w:rPr>
                <w:color w:val="FF0000"/>
              </w:rPr>
            </w:pPr>
            <w:r w:rsidRPr="00F7015D">
              <w:rPr>
                <w:color w:val="FF0000"/>
              </w:rPr>
              <w:t xml:space="preserve">  </w:t>
            </w:r>
            <w:r w:rsidRPr="00F7015D">
              <w:t>1944</w:t>
            </w:r>
          </w:p>
        </w:tc>
      </w:tr>
      <w:tr w:rsidR="008F3F12" w:rsidRPr="00F7015D" w:rsidTr="001B0158">
        <w:trPr>
          <w:trHeight w:val="304"/>
        </w:trPr>
        <w:tc>
          <w:tcPr>
            <w:tcW w:w="2127" w:type="dxa"/>
          </w:tcPr>
          <w:p w:rsidR="008F3F12" w:rsidRPr="00F7015D" w:rsidRDefault="008F3F12" w:rsidP="001B0158">
            <w:pPr>
              <w:jc w:val="both"/>
              <w:rPr>
                <w:b/>
              </w:rPr>
            </w:pPr>
            <w:r w:rsidRPr="00F7015D">
              <w:rPr>
                <w:b/>
              </w:rPr>
              <w:t>Настоящ адрес</w:t>
            </w:r>
          </w:p>
        </w:tc>
        <w:tc>
          <w:tcPr>
            <w:tcW w:w="1670" w:type="dxa"/>
          </w:tcPr>
          <w:p w:rsidR="008F3F12" w:rsidRPr="00F7015D" w:rsidRDefault="008F3F12" w:rsidP="001B0158">
            <w:pPr>
              <w:jc w:val="both"/>
              <w:rPr>
                <w:color w:val="FF0000"/>
              </w:rPr>
            </w:pPr>
          </w:p>
        </w:tc>
        <w:tc>
          <w:tcPr>
            <w:tcW w:w="1899" w:type="dxa"/>
          </w:tcPr>
          <w:p w:rsidR="008F3F12" w:rsidRPr="00F7015D" w:rsidRDefault="008F3F12" w:rsidP="001B0158">
            <w:pPr>
              <w:jc w:val="both"/>
              <w:rPr>
                <w:color w:val="FF0000"/>
              </w:rPr>
            </w:pPr>
          </w:p>
        </w:tc>
        <w:tc>
          <w:tcPr>
            <w:tcW w:w="1899" w:type="dxa"/>
          </w:tcPr>
          <w:p w:rsidR="008F3F12" w:rsidRPr="00F7015D" w:rsidRDefault="008F3F12" w:rsidP="001B0158">
            <w:pPr>
              <w:jc w:val="both"/>
              <w:rPr>
                <w:color w:val="FF0000"/>
              </w:rPr>
            </w:pPr>
          </w:p>
        </w:tc>
        <w:tc>
          <w:tcPr>
            <w:tcW w:w="1900" w:type="dxa"/>
          </w:tcPr>
          <w:p w:rsidR="008F3F12" w:rsidRPr="00F7015D" w:rsidRDefault="008F3F12" w:rsidP="001B0158">
            <w:pPr>
              <w:jc w:val="both"/>
              <w:rPr>
                <w:color w:val="FF0000"/>
              </w:rPr>
            </w:pPr>
          </w:p>
        </w:tc>
      </w:tr>
    </w:tbl>
    <w:p w:rsidR="008F3F12" w:rsidRPr="00F7015D" w:rsidRDefault="008F3F12" w:rsidP="008F3F12">
      <w:pPr>
        <w:jc w:val="both"/>
      </w:pPr>
      <w:r w:rsidRPr="00F7015D">
        <w:t xml:space="preserve">Тенденцията на остаряване на населението води до промени и в неговата основна възрастова структура. Влияние върху съвкупностите на населението (в категориите под, </w:t>
      </w:r>
      <w:r w:rsidRPr="00F7015D">
        <w:lastRenderedPageBreak/>
        <w:t xml:space="preserve">във и над трудоспособна възраст) оказват както остаряването на населението, така и законодателните промени, регламентиращи възрастовите граници при пенсиониране. </w:t>
      </w:r>
    </w:p>
    <w:p w:rsidR="008F3F12" w:rsidRPr="00F7015D" w:rsidRDefault="008F3F12" w:rsidP="008F3F12">
      <w:pPr>
        <w:ind w:firstLine="708"/>
        <w:jc w:val="both"/>
      </w:pPr>
      <w:r w:rsidRPr="00F7015D">
        <w:t xml:space="preserve"> Населените места в Община Сунгурларе са 28 на брой, от които 27 са села.</w:t>
      </w:r>
    </w:p>
    <w:p w:rsidR="008F3F12" w:rsidRPr="00F7015D" w:rsidRDefault="008F3F12" w:rsidP="008F3F12">
      <w:pPr>
        <w:ind w:firstLine="708"/>
        <w:jc w:val="both"/>
        <w:rPr>
          <w:color w:val="FF0000"/>
        </w:rPr>
      </w:pPr>
    </w:p>
    <w:p w:rsidR="008F3F12" w:rsidRPr="00F7015D" w:rsidRDefault="008F3F12" w:rsidP="008F3F12">
      <w:pPr>
        <w:ind w:firstLine="708"/>
        <w:jc w:val="both"/>
      </w:pPr>
      <w:r w:rsidRPr="00F7015D">
        <w:rPr>
          <w:color w:val="FF0000"/>
        </w:rPr>
        <w:t xml:space="preserve"> </w:t>
      </w:r>
      <w:r w:rsidRPr="00F7015D">
        <w:t xml:space="preserve">Разпределението на населението по населени места в края на годината е резултат от една страна от неговото естествено и механично движение, а от друга - от административните промени в селищната структура на страната. </w:t>
      </w:r>
    </w:p>
    <w:p w:rsidR="008F3F12" w:rsidRPr="00F7015D" w:rsidRDefault="008F3F12" w:rsidP="008F3F12">
      <w:pPr>
        <w:rPr>
          <w:b/>
        </w:rPr>
      </w:pPr>
      <w:r w:rsidRPr="00F7015D">
        <w:rPr>
          <w:b/>
        </w:rPr>
        <w:t>Вътрешна и външна миграция на населението</w:t>
      </w:r>
    </w:p>
    <w:p w:rsidR="008F3F12" w:rsidRPr="00F7015D" w:rsidRDefault="008F3F12" w:rsidP="008F3F12">
      <w:pPr>
        <w:ind w:firstLine="708"/>
        <w:jc w:val="both"/>
      </w:pPr>
      <w:r w:rsidRPr="00F7015D">
        <w:t>Най-голямо териториално движение общо в Сунгурларска община има по направлението „град - град“. Значително по-малки по брой и относителен дял са миграционните потоци по направлението „село - село“ . В условията на динамично развиващото се общество и настъпващите промени  се забелязва засилваща емиграция на млади хора и в чужбина. Най-предпочитани от емигрантите дестинации са Германия, Обединеното кралство, Гърция  и Испания .</w:t>
      </w:r>
    </w:p>
    <w:p w:rsidR="008F3F12" w:rsidRPr="00F7015D" w:rsidRDefault="008F3F12" w:rsidP="008F3F12">
      <w:pPr>
        <w:ind w:firstLine="708"/>
        <w:jc w:val="both"/>
      </w:pPr>
    </w:p>
    <w:p w:rsidR="008F3F12" w:rsidRPr="00F7015D" w:rsidRDefault="008F3F12" w:rsidP="008F3F12">
      <w:pPr>
        <w:rPr>
          <w:b/>
        </w:rPr>
      </w:pPr>
      <w:r w:rsidRPr="00F7015D">
        <w:rPr>
          <w:b/>
        </w:rPr>
        <w:t>Приоритет I. НАСЪРЧАВАНЕ НА ИКОНОМИЧЕСКАТА АКТИВНОСТ И КАРИЕРНОТО РАЗВИТИЕ НА МЛАДИТЕ ХОРА</w:t>
      </w:r>
    </w:p>
    <w:p w:rsidR="008F3F12" w:rsidRPr="00F7015D" w:rsidRDefault="008F3F12" w:rsidP="008F3F12">
      <w:pPr>
        <w:rPr>
          <w:b/>
        </w:rPr>
      </w:pPr>
    </w:p>
    <w:p w:rsidR="008F3F12" w:rsidRPr="00F7015D" w:rsidRDefault="008F3F12" w:rsidP="008F3F12">
      <w:pPr>
        <w:numPr>
          <w:ilvl w:val="2"/>
          <w:numId w:val="1"/>
        </w:numPr>
      </w:pPr>
      <w:r w:rsidRPr="00F7015D">
        <w:t>Състояние на изследвания индикатор</w:t>
      </w:r>
    </w:p>
    <w:p w:rsidR="008F3F12" w:rsidRPr="00F7015D" w:rsidRDefault="008F3F12" w:rsidP="008F3F12">
      <w:pPr>
        <w:ind w:firstLine="708"/>
        <w:jc w:val="both"/>
      </w:pPr>
      <w:r w:rsidRPr="00F7015D">
        <w:t>Насърчаване на икономическата активност и кариерното развитие на младите хора, намаляване на броя на отпадащите от училище и повишаване на процента на завършилите висше образование са сред основните цели на Националната стратегия за младежта 2010-</w:t>
      </w:r>
      <w:smartTag w:uri="urn:schemas-microsoft-com:office:smarttags" w:element="metricconverter">
        <w:smartTagPr>
          <w:attr w:name="ProductID" w:val="2020 г"/>
        </w:smartTagPr>
        <w:r w:rsidRPr="00F7015D">
          <w:t>2020 г</w:t>
        </w:r>
      </w:smartTag>
      <w:r w:rsidRPr="00F7015D">
        <w:t xml:space="preserve">. Стратегията е насочена към хората на възраст от 15 до 29 години и е съобразена с общите мерки за развитие на младите в ЕС. Не само приемането на подобен документ, но и конкретните действия, с които той ще бъде подкрепен, са изключително важни за страната ни и в частност общината ни, за да успее да задържи младите българи у дома. През последните години се наблюдава  покачване на желанието им за емиграция, като всеки осми млад човек има конкретни намерения в обозримо бъдеще да търси реализация в чужбина. От </w:t>
      </w:r>
      <w:smartTag w:uri="urn:schemas-microsoft-com:office:smarttags" w:element="metricconverter">
        <w:smartTagPr>
          <w:attr w:name="ProductID" w:val="1989 г"/>
        </w:smartTagPr>
        <w:r w:rsidRPr="00F7015D">
          <w:t>1989 г</w:t>
        </w:r>
      </w:smartTag>
      <w:r w:rsidRPr="00F7015D">
        <w:t xml:space="preserve">. насам населението на България е намаляло с над един милион души, като близо 1/3 от тях са именно младите. Прогноза на Националния статистически институт показва, че в периода до </w:t>
      </w:r>
      <w:smartTag w:uri="urn:schemas-microsoft-com:office:smarttags" w:element="metricconverter">
        <w:smartTagPr>
          <w:attr w:name="ProductID" w:val="2020 г"/>
        </w:smartTagPr>
        <w:r w:rsidRPr="00F7015D">
          <w:t>2020 г</w:t>
        </w:r>
      </w:smartTag>
      <w:r w:rsidRPr="00F7015D">
        <w:t xml:space="preserve">. броят им ще продължава да намалява. </w:t>
      </w:r>
    </w:p>
    <w:p w:rsidR="008F3F12" w:rsidRPr="00F7015D" w:rsidRDefault="008F3F12" w:rsidP="008F3F12">
      <w:pPr>
        <w:ind w:firstLine="708"/>
        <w:jc w:val="both"/>
      </w:pPr>
      <w:r w:rsidRPr="00F7015D">
        <w:t>През учебната 2018/2019 г. броят на учениците във всички училища на територията на общината е 1087, като броят им остава почти непроменен в сравнение с изминалата 2017/2018г – 1085 ученици.</w:t>
      </w:r>
    </w:p>
    <w:p w:rsidR="008F3F12" w:rsidRPr="00F7015D" w:rsidRDefault="008F3F12" w:rsidP="008F3F12">
      <w:pPr>
        <w:ind w:firstLine="708"/>
        <w:jc w:val="both"/>
      </w:pPr>
      <w:r w:rsidRPr="00F7015D">
        <w:t xml:space="preserve"> </w:t>
      </w:r>
    </w:p>
    <w:p w:rsidR="008F3F12" w:rsidRPr="00F7015D" w:rsidRDefault="008F3F12" w:rsidP="008F3F12">
      <w:pPr>
        <w:pStyle w:val="a6"/>
        <w:numPr>
          <w:ilvl w:val="2"/>
          <w:numId w:val="1"/>
        </w:numPr>
      </w:pPr>
      <w:r w:rsidRPr="00F7015D">
        <w:t>Анализ на състоянието</w:t>
      </w:r>
    </w:p>
    <w:p w:rsidR="008F3F12" w:rsidRPr="00F7015D" w:rsidRDefault="008F3F12" w:rsidP="008F3F12">
      <w:pPr>
        <w:pStyle w:val="a6"/>
        <w:rPr>
          <w:color w:val="FF0000"/>
        </w:rPr>
      </w:pPr>
    </w:p>
    <w:p w:rsidR="008F3F12" w:rsidRPr="00F7015D" w:rsidRDefault="008F3F12" w:rsidP="008F3F12">
      <w:pPr>
        <w:pStyle w:val="a6"/>
        <w:ind w:left="540"/>
        <w:jc w:val="both"/>
        <w:rPr>
          <w:bCs/>
        </w:rPr>
      </w:pPr>
      <w:r w:rsidRPr="00F7015D">
        <w:rPr>
          <w:bCs/>
        </w:rPr>
        <w:t xml:space="preserve">Причините за отпадане от училище и непълното обхващане на децата и младите </w:t>
      </w:r>
    </w:p>
    <w:p w:rsidR="008F3F12" w:rsidRPr="00F7015D" w:rsidRDefault="008F3F12" w:rsidP="008F3F12">
      <w:pPr>
        <w:jc w:val="both"/>
        <w:rPr>
          <w:bCs/>
        </w:rPr>
      </w:pPr>
      <w:r w:rsidRPr="00F7015D">
        <w:rPr>
          <w:bCs/>
        </w:rPr>
        <w:t>хора в задължителна училищна възраст от националната образователна система са комплексни и положителната промяна на състоянието на тези явления изисква прилагане на комплексни мерки и добра координация между институциите от няколко различни сектора на всяко от нивата на управление – национално, регионално, местно и училищно.</w:t>
      </w:r>
    </w:p>
    <w:p w:rsidR="008F3F12" w:rsidRPr="00F7015D" w:rsidRDefault="008F3F12" w:rsidP="008F3F12">
      <w:pPr>
        <w:pStyle w:val="a6"/>
        <w:ind w:left="540"/>
        <w:jc w:val="both"/>
        <w:rPr>
          <w:bCs/>
        </w:rPr>
      </w:pPr>
      <w:r w:rsidRPr="00F7015D">
        <w:rPr>
          <w:bCs/>
        </w:rPr>
        <w:t xml:space="preserve">Причините, поради които младите напускат преждевременно системата на </w:t>
      </w:r>
    </w:p>
    <w:p w:rsidR="008F3F12" w:rsidRPr="00F7015D" w:rsidRDefault="008F3F12" w:rsidP="008F3F12">
      <w:pPr>
        <w:jc w:val="both"/>
        <w:rPr>
          <w:bCs/>
        </w:rPr>
      </w:pPr>
      <w:r w:rsidRPr="00F7015D">
        <w:rPr>
          <w:bCs/>
        </w:rPr>
        <w:t>образование и обучение, са строго индивидуални. Въпреки това е възможно да бъдат установени някои постоянно повтарящи се характеристики. Децата на родители с ниско равнище на образование и неравностойно социално положение е по-вероятно да напуснат образователната система преди да завършат степен на средното образование в сравнение с други млади хора.</w:t>
      </w:r>
    </w:p>
    <w:p w:rsidR="008F3F12" w:rsidRPr="00F7015D" w:rsidRDefault="008F3F12" w:rsidP="008F3F12">
      <w:pPr>
        <w:ind w:firstLine="708"/>
        <w:jc w:val="both"/>
        <w:rPr>
          <w:bCs/>
          <w:lang w:eastAsia="ja-JP"/>
        </w:rPr>
      </w:pPr>
      <w:r w:rsidRPr="00F7015D">
        <w:rPr>
          <w:bCs/>
        </w:rPr>
        <w:lastRenderedPageBreak/>
        <w:t>Влияние върху преждевременното напускане на училище оказват фактори в системата на образование, свързаните с отделната личност обстоятелства и социално-икономическите условия. Това по-скоро е процес, отколкото еднократно събитие. То често започва още в началния курс на обучение, когато за първи път се проявява</w:t>
      </w:r>
      <w:r w:rsidRPr="00F7015D">
        <w:rPr>
          <w:bCs/>
          <w:lang w:eastAsia="ja-JP"/>
        </w:rPr>
        <w:t xml:space="preserve"> усещането за провал в училище и нарастващото отчуждаване от него. Преминаването между отделни училища и различни образователни степени е особено трудно за учениците, застрашени от отпадане. </w:t>
      </w:r>
    </w:p>
    <w:p w:rsidR="008F3F12" w:rsidRPr="00F7015D" w:rsidRDefault="008F3F12" w:rsidP="008F3F12">
      <w:pPr>
        <w:ind w:firstLine="708"/>
        <w:jc w:val="both"/>
        <w:rPr>
          <w:bCs/>
          <w:lang w:eastAsia="en-US"/>
        </w:rPr>
      </w:pPr>
      <w:r w:rsidRPr="00F7015D">
        <w:rPr>
          <w:bCs/>
          <w:lang w:eastAsia="en-US"/>
        </w:rPr>
        <w:t>Най-често срещани причини за отпадането от училище социални и семейни причини, психологически и педагогически причини в следното съотношение:</w:t>
      </w:r>
    </w:p>
    <w:p w:rsidR="008F3F12" w:rsidRPr="00F7015D" w:rsidRDefault="008F3F12" w:rsidP="008F3F12">
      <w:pPr>
        <w:numPr>
          <w:ilvl w:val="0"/>
          <w:numId w:val="3"/>
        </w:numPr>
        <w:spacing w:after="200"/>
        <w:ind w:left="1423" w:firstLine="0"/>
        <w:jc w:val="both"/>
        <w:rPr>
          <w:bCs/>
          <w:lang w:eastAsia="en-US"/>
        </w:rPr>
      </w:pPr>
      <w:r w:rsidRPr="00F7015D">
        <w:rPr>
          <w:bCs/>
          <w:lang w:eastAsia="en-US"/>
        </w:rPr>
        <w:t>социалните и семейни причини ;</w:t>
      </w:r>
    </w:p>
    <w:p w:rsidR="008F3F12" w:rsidRPr="00F7015D" w:rsidRDefault="008F3F12" w:rsidP="008F3F12">
      <w:pPr>
        <w:numPr>
          <w:ilvl w:val="0"/>
          <w:numId w:val="3"/>
        </w:numPr>
        <w:spacing w:after="200"/>
        <w:ind w:left="1423" w:firstLine="0"/>
        <w:jc w:val="both"/>
        <w:rPr>
          <w:bCs/>
          <w:lang w:eastAsia="en-US"/>
        </w:rPr>
      </w:pPr>
      <w:r w:rsidRPr="00F7015D">
        <w:rPr>
          <w:bCs/>
          <w:lang w:eastAsia="en-US"/>
        </w:rPr>
        <w:t>непосещаване на учебни занятия поради нежелание ;</w:t>
      </w:r>
    </w:p>
    <w:p w:rsidR="008F3F12" w:rsidRPr="00F7015D" w:rsidRDefault="008F3F12" w:rsidP="008F3F12">
      <w:pPr>
        <w:numPr>
          <w:ilvl w:val="0"/>
          <w:numId w:val="3"/>
        </w:numPr>
        <w:spacing w:after="200"/>
        <w:ind w:left="1423" w:firstLine="0"/>
        <w:jc w:val="both"/>
        <w:rPr>
          <w:bCs/>
          <w:lang w:eastAsia="en-US"/>
        </w:rPr>
      </w:pPr>
      <w:r w:rsidRPr="00F7015D">
        <w:rPr>
          <w:bCs/>
          <w:lang w:eastAsia="en-US"/>
        </w:rPr>
        <w:t>сключване на брак;</w:t>
      </w:r>
    </w:p>
    <w:p w:rsidR="008F3F12" w:rsidRPr="00F7015D" w:rsidRDefault="008F3F12" w:rsidP="008F3F12">
      <w:pPr>
        <w:numPr>
          <w:ilvl w:val="0"/>
          <w:numId w:val="3"/>
        </w:numPr>
        <w:spacing w:after="200"/>
        <w:ind w:firstLine="0"/>
        <w:jc w:val="both"/>
        <w:rPr>
          <w:bCs/>
          <w:lang w:eastAsia="en-US"/>
        </w:rPr>
      </w:pPr>
      <w:r w:rsidRPr="00F7015D">
        <w:rPr>
          <w:bCs/>
          <w:lang w:eastAsia="en-US"/>
        </w:rPr>
        <w:t>заминали за чужбина .</w:t>
      </w:r>
    </w:p>
    <w:p w:rsidR="008F3F12" w:rsidRPr="00F7015D" w:rsidRDefault="008F3F12" w:rsidP="008F3F12">
      <w:pPr>
        <w:ind w:firstLine="708"/>
        <w:jc w:val="both"/>
        <w:rPr>
          <w:bCs/>
          <w:lang w:eastAsia="en-US"/>
        </w:rPr>
      </w:pPr>
      <w:r w:rsidRPr="00F7015D">
        <w:rPr>
          <w:bCs/>
          <w:lang w:eastAsia="en-US"/>
        </w:rPr>
        <w:t>Първата причина за отпадане от училище е материалното положение на семейството – бедност, липса на пари. На второ място идват проблемите с учебния материал, трудностите, които имат дори с четене, писане и смятане.</w:t>
      </w:r>
    </w:p>
    <w:p w:rsidR="008F3F12" w:rsidRPr="00F7015D" w:rsidRDefault="008F3F12" w:rsidP="008F3F12">
      <w:pPr>
        <w:ind w:firstLine="708"/>
        <w:jc w:val="both"/>
        <w:rPr>
          <w:bCs/>
          <w:lang w:eastAsia="en-US"/>
        </w:rPr>
      </w:pPr>
      <w:r w:rsidRPr="00F7015D">
        <w:t>Успоредно с традиционните механизми за работа и превенция на случаите на преждевременно напускане във все повече училища се прилагат нови подходи, добри практики на други педагогически екипи, разработват се проекти, търси се съдействие от родителската общност за подобряване на училищната среда. Резултатността им е различна, тъй като понякога усилията на училищните екипи се сблъскват с неразбиране или незаинтересованост от страна на родители и ученици.</w:t>
      </w:r>
    </w:p>
    <w:p w:rsidR="008F3F12" w:rsidRPr="00F7015D" w:rsidRDefault="008F3F12" w:rsidP="008F3F12">
      <w:pPr>
        <w:ind w:firstLine="708"/>
      </w:pPr>
      <w:r w:rsidRPr="00F7015D">
        <w:t>1.1.3 Предприети мерки</w:t>
      </w:r>
    </w:p>
    <w:p w:rsidR="008F3F12" w:rsidRPr="00F7015D" w:rsidRDefault="00F7015D" w:rsidP="008F3F12">
      <w:pPr>
        <w:ind w:firstLine="708"/>
        <w:jc w:val="both"/>
        <w:rPr>
          <w:rStyle w:val="a3"/>
          <w:b w:val="0"/>
          <w:shd w:val="clear" w:color="auto" w:fill="FFFFFF"/>
        </w:rPr>
      </w:pPr>
      <w:hyperlink r:id="rId7" w:tgtFrame="_blank" w:history="1">
        <w:r w:rsidR="008F3F12" w:rsidRPr="00F7015D">
          <w:rPr>
            <w:rStyle w:val="a5"/>
            <w:color w:val="auto"/>
            <w:u w:val="none"/>
            <w:shd w:val="clear" w:color="auto" w:fill="FFFFFF"/>
          </w:rPr>
          <w:t>Решение №373 от 05.07.2017 г.</w:t>
        </w:r>
      </w:hyperlink>
      <w:r w:rsidR="008F3F12" w:rsidRPr="00F7015D">
        <w:rPr>
          <w:rStyle w:val="apple-converted-space"/>
          <w:bCs/>
          <w:shd w:val="clear" w:color="auto" w:fill="FFFFFF"/>
        </w:rPr>
        <w:t> </w:t>
      </w:r>
      <w:r w:rsidR="008F3F12" w:rsidRPr="00F7015D">
        <w:rPr>
          <w:rStyle w:val="a3"/>
          <w:b w:val="0"/>
          <w:shd w:val="clear" w:color="auto" w:fill="FFFFFF"/>
        </w:rPr>
        <w:t>на МС за създаване на Механизъм за съвместна работа на институциите по обхващане и задържане в образователната система на деца и ученици в задължителна предучилищна и училищна възраст. Механизмът включва следните дейности:</w:t>
      </w:r>
    </w:p>
    <w:p w:rsidR="008F3F12" w:rsidRPr="00F7015D" w:rsidRDefault="008F3F12" w:rsidP="008F3F12">
      <w:pPr>
        <w:numPr>
          <w:ilvl w:val="0"/>
          <w:numId w:val="2"/>
        </w:numPr>
        <w:jc w:val="both"/>
        <w:rPr>
          <w:rStyle w:val="a3"/>
          <w:b w:val="0"/>
          <w:shd w:val="clear" w:color="auto" w:fill="FFFFFF"/>
        </w:rPr>
      </w:pPr>
      <w:r w:rsidRPr="00F7015D">
        <w:rPr>
          <w:rStyle w:val="a3"/>
          <w:b w:val="0"/>
          <w:shd w:val="clear" w:color="auto" w:fill="FFFFFF"/>
        </w:rPr>
        <w:t>създаване на екипи за съвместна работа;</w:t>
      </w:r>
    </w:p>
    <w:p w:rsidR="008F3F12" w:rsidRPr="00F7015D" w:rsidRDefault="008F3F12" w:rsidP="008F3F12">
      <w:pPr>
        <w:numPr>
          <w:ilvl w:val="0"/>
          <w:numId w:val="2"/>
        </w:numPr>
        <w:jc w:val="both"/>
        <w:rPr>
          <w:rStyle w:val="a3"/>
          <w:b w:val="0"/>
          <w:bCs w:val="0"/>
        </w:rPr>
      </w:pPr>
      <w:r w:rsidRPr="00F7015D">
        <w:rPr>
          <w:rStyle w:val="a3"/>
          <w:b w:val="0"/>
          <w:shd w:val="clear" w:color="auto" w:fill="FFFFFF"/>
        </w:rPr>
        <w:t>създаване на правила за обмен на информация;</w:t>
      </w:r>
    </w:p>
    <w:p w:rsidR="008F3F12" w:rsidRPr="00F7015D" w:rsidRDefault="008F3F12" w:rsidP="008F3F12">
      <w:pPr>
        <w:numPr>
          <w:ilvl w:val="0"/>
          <w:numId w:val="2"/>
        </w:numPr>
        <w:jc w:val="both"/>
        <w:rPr>
          <w:rStyle w:val="a3"/>
          <w:b w:val="0"/>
          <w:bCs w:val="0"/>
        </w:rPr>
      </w:pPr>
      <w:r w:rsidRPr="00F7015D">
        <w:rPr>
          <w:rStyle w:val="a3"/>
          <w:b w:val="0"/>
          <w:shd w:val="clear" w:color="auto" w:fill="FFFFFF"/>
        </w:rPr>
        <w:t>повишаване на ефективността на процедурата за отпускане на семейни и други помощи в натура спрямо индивидуалните потребности на децата;</w:t>
      </w:r>
    </w:p>
    <w:p w:rsidR="008F3F12" w:rsidRPr="00F7015D" w:rsidRDefault="008F3F12" w:rsidP="008F3F12">
      <w:pPr>
        <w:numPr>
          <w:ilvl w:val="0"/>
          <w:numId w:val="2"/>
        </w:numPr>
        <w:jc w:val="both"/>
        <w:rPr>
          <w:rStyle w:val="a3"/>
          <w:b w:val="0"/>
          <w:bCs w:val="0"/>
        </w:rPr>
      </w:pPr>
      <w:r w:rsidRPr="00F7015D">
        <w:rPr>
          <w:rStyle w:val="a3"/>
          <w:b w:val="0"/>
          <w:shd w:val="clear" w:color="auto" w:fill="FFFFFF"/>
        </w:rPr>
        <w:t>съвместни действия за налагане на санкции по реда на Закона за закрила на детето и ЗПУО</w:t>
      </w:r>
    </w:p>
    <w:p w:rsidR="008F3F12" w:rsidRPr="00F7015D" w:rsidRDefault="008F3F12" w:rsidP="008F3F12">
      <w:pPr>
        <w:ind w:firstLine="708"/>
        <w:jc w:val="both"/>
        <w:rPr>
          <w:rStyle w:val="a3"/>
          <w:b w:val="0"/>
          <w:shd w:val="clear" w:color="auto" w:fill="FFFFFF"/>
        </w:rPr>
      </w:pPr>
      <w:r w:rsidRPr="00F7015D">
        <w:rPr>
          <w:rStyle w:val="a3"/>
          <w:b w:val="0"/>
          <w:shd w:val="clear" w:color="auto" w:fill="FFFFFF"/>
        </w:rPr>
        <w:t xml:space="preserve">В община Сунгурларе продължават дейността си 6 екипа- за всяко населено място с училище. В екипите са включени  представители на различните институции- от училища, община , МКБППМН, от дирекция „Социално подпомагане”, „Закрила на детето”, полиция. </w:t>
      </w:r>
    </w:p>
    <w:p w:rsidR="008F3F12" w:rsidRPr="00F7015D" w:rsidRDefault="008F3F12" w:rsidP="008F3F12">
      <w:pPr>
        <w:ind w:firstLine="708"/>
        <w:jc w:val="both"/>
      </w:pPr>
      <w:r w:rsidRPr="00F7015D">
        <w:t>През 2018 г. учениците в Община Сунгурларе бяха включени в дейности по национални програми и проекти. Национална програма за по-пълно обхващане на учениците в задължителна училищна възраст, Национална програма „Информационни и комуникационни технологии (ИКТ) в системата на предучилищното и училищното образование“</w:t>
      </w:r>
      <w:r w:rsidR="00F7015D">
        <w:rPr>
          <w:lang w:val="en-US"/>
        </w:rPr>
        <w:t xml:space="preserve"> </w:t>
      </w:r>
      <w:r w:rsidRPr="00F7015D">
        <w:t xml:space="preserve">и „С грижа за всеки ученик” имат за цел по-пълно обхващане и задържане на учениците в задължителната училищна възраст, като се осигурят условия за улесняване на достъпа до образование на тези ученици без разлика по отношение на етническа принадлежност, пол, произход и вероизповедание чрез създаване на възможност за всеки да се обучава независимо от неговото местоживеене и </w:t>
      </w:r>
      <w:r w:rsidRPr="00F7015D">
        <w:lastRenderedPageBreak/>
        <w:t xml:space="preserve">икономическо положение. Целева група са предимно децата от първи до седми клас. Национална програма „С грижа за всеки ученик” </w:t>
      </w:r>
      <w:r w:rsidRPr="00F7015D">
        <w:rPr>
          <w:bCs/>
        </w:rPr>
        <w:t>осигурява на подкрепа на деца и ученици, които имат трудности, както и         за насърчаване на талантливи ученици.</w:t>
      </w:r>
      <w:r w:rsidRPr="00F7015D">
        <w:t xml:space="preserve"> В модул 3 „Осигуряване на допълнително обучение на учениците за повишаване на нивото им по общообразователна подготовка”</w:t>
      </w:r>
      <w:r w:rsidR="00F7015D">
        <w:rPr>
          <w:lang w:val="en-US"/>
        </w:rPr>
        <w:t xml:space="preserve"> </w:t>
      </w:r>
      <w:r w:rsidRPr="00F7015D">
        <w:t>и  през учебната 2018/2019г. продължава да работи  ДГ Лозарево, под надслов „Ръка за ръка към интеграцията”. През 2018 година приключи  проекта на ДГ „Зорница” с. Грозден „Към едно споделено бъдеще”. Целта на проекта беше повишаване качеството на образователния процес, чрез осигуряване на диференцирана грижа към личностното развитие на децата и учениците според индивидуалните и образователните им потребности.</w:t>
      </w:r>
    </w:p>
    <w:p w:rsidR="008F3F12" w:rsidRPr="00F7015D" w:rsidRDefault="008F3F12" w:rsidP="008F3F12">
      <w:pPr>
        <w:ind w:firstLine="708"/>
        <w:jc w:val="both"/>
      </w:pPr>
      <w:r w:rsidRPr="00F7015D">
        <w:t>Сред реализираните мерки са и проекта по Национална програма „На училище без отсъствия”, чиято цел е намаляване на броя на свободните часове и намаляване на отсъствията на учениците, чрез коректното им отразяване в училищната документация. Всички училища  в Община Сунгурларе са включени в изпълнението му.</w:t>
      </w:r>
    </w:p>
    <w:p w:rsidR="008F3F12" w:rsidRPr="00F7015D" w:rsidRDefault="008F3F12" w:rsidP="008F3F12">
      <w:pPr>
        <w:ind w:firstLine="708"/>
        <w:jc w:val="both"/>
      </w:pPr>
      <w:r w:rsidRPr="00F7015D">
        <w:t>В периода са извършени и дейности, с цел предотвратяване на отпадането от училище, като: включване на учениците в занимания по интереси, индивидуална работа от страна на учителите и класните ръководители със застрашените от отпадане, работа на училищната комисия по превенция, разговор на учениците с комисията за работа с проблемни деца. На застрашените ученици е осигурен достъп до спортната база на училищата, компютърните кабинети и библиотеките, провеждани са разговори с тях от страна на педагогическите съветници  в училище. С цел социализиране на децата и учениците, за които българският език не е майчин, са осъществени действия, свързани с приобщаване към училищния живот и намиране на социални посредници, на които децата и младежите вярват, за да се постигне по-голяма посещаемост в училище.</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1.2 МЛАДЕЖИ, ЗАВЪРШВАЩИ ВИСШЕ ОБРАЗОВАНИЕ</w:t>
      </w:r>
    </w:p>
    <w:p w:rsidR="008F3F12" w:rsidRPr="00F7015D" w:rsidRDefault="008F3F12" w:rsidP="008F3F12">
      <w:pPr>
        <w:rPr>
          <w:b/>
        </w:rPr>
      </w:pPr>
      <w:r w:rsidRPr="00F7015D">
        <w:rPr>
          <w:b/>
        </w:rPr>
        <w:t>1.3. ЗАЕТОСТ ПРИ МЛАДИТЕ ХОРА</w:t>
      </w:r>
    </w:p>
    <w:p w:rsidR="008F3F12" w:rsidRPr="00F7015D" w:rsidRDefault="008F3F12" w:rsidP="008F3F12">
      <w:pPr>
        <w:jc w:val="both"/>
      </w:pPr>
      <w:r w:rsidRPr="00F7015D">
        <w:t>1.3.1 Състояние на изследвания индикатор</w:t>
      </w:r>
    </w:p>
    <w:p w:rsidR="008F3F12" w:rsidRPr="00F7015D" w:rsidRDefault="008F3F12" w:rsidP="008F3F12">
      <w:pPr>
        <w:ind w:firstLine="360"/>
      </w:pPr>
      <w:r w:rsidRPr="00F7015D">
        <w:t>Предвид негативните демографски тенденции за страната, нивото на образовател -ните характеристики на населението е ключова предпоставка за качеството на човешкия ресурс.</w:t>
      </w:r>
    </w:p>
    <w:p w:rsidR="008F3F12" w:rsidRPr="00F7015D" w:rsidRDefault="008F3F12" w:rsidP="008F3F12">
      <w:pPr>
        <w:ind w:firstLine="360"/>
        <w:jc w:val="both"/>
      </w:pPr>
      <w:r w:rsidRPr="00F7015D">
        <w:t xml:space="preserve">Състоянието на образователната структура при младите хора е от основно значение за развитието на общината. От образователното ниво на младежите до голяма степен зависи мобилността им на пазара на труда, гарантираща по-добро заплащане, поддържане на по - висок жизнен стандарт и качество на живота. </w:t>
      </w:r>
    </w:p>
    <w:p w:rsidR="008F3F12" w:rsidRPr="00F7015D" w:rsidRDefault="008F3F12" w:rsidP="008F3F12">
      <w:pPr>
        <w:jc w:val="both"/>
        <w:rPr>
          <w:b/>
        </w:rPr>
      </w:pPr>
    </w:p>
    <w:p w:rsidR="008F3F12" w:rsidRPr="00F7015D" w:rsidRDefault="008F3F12" w:rsidP="008F3F12">
      <w:r w:rsidRPr="00F7015D">
        <w:t>1.3.2 Анализ на състоянието</w:t>
      </w:r>
    </w:p>
    <w:p w:rsidR="008F3F12" w:rsidRPr="00F7015D" w:rsidRDefault="008F3F12" w:rsidP="008F3F12">
      <w:pPr>
        <w:ind w:firstLine="708"/>
        <w:jc w:val="both"/>
      </w:pPr>
      <w:r w:rsidRPr="00F7015D">
        <w:t xml:space="preserve">Съгласно действащото законодателство в Република България на 15 години младият човек става трудоспособен, като започването на работа на по-ранна възраст е при условията на специална закрила. Насочването на политиките за развитие би подпомогнало кариерната ориентация и би облекчило включването на трудоспособните млади хора в системата на трудовата заетост. В повечето случаи младите хора нямат практически и трудов опит по придобитата специалност след завършване на своето образование и трудно се включват на пазара на труда. Младите хора без опит са в неблагоприятно положение в условията на повишаване на предлагането на труд в контекста на световната финансова криза. Младежите с ниско образование и квалификация са сред първите, засегнати от влошените икономически условия. Необходимо е да се положат усилия относно плавното преминаване на младите хора от учебната скамейка към пазара на труда чрез разширяване на стажовете и практиките в реалния сектор. Често младите хора изпитват липса на необходимата информация за </w:t>
      </w:r>
      <w:r w:rsidRPr="00F7015D">
        <w:lastRenderedPageBreak/>
        <w:t>устройване на работа. Не е наложена все още практиката на работодателите да инвестират в обучението и квалификацията на младите работници и служители. Голяма част от младите хора са демотивирани от предлаганото заплащане, както и от условията на работа. Младите хора се превръщат в потенциален ресурс на заетостта в сивата част на икономиката. Недостатъчните професионални умения и практики в реална среда и невъзможността за професионален избор на учащите от най-ранната възраст принуждават част от завършилите училище да започнат “първата възможна работа”, най-често в сферата на услугите, търговията и обслужването, без изисквания към условията на труд.</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1.4 БЕЗРАБОТИЦА СРЕД МЛАДИТЕ ХОРА</w:t>
      </w:r>
    </w:p>
    <w:p w:rsidR="008F3F12" w:rsidRPr="00F7015D" w:rsidRDefault="008F3F12" w:rsidP="008F3F12">
      <w:r w:rsidRPr="00F7015D">
        <w:t>1.4.1 Състояние на изследвания индикатор</w:t>
      </w:r>
    </w:p>
    <w:p w:rsidR="008F3F12" w:rsidRPr="00F7015D" w:rsidRDefault="008F3F12" w:rsidP="008F3F12">
      <w:pPr>
        <w:ind w:firstLine="708"/>
        <w:jc w:val="both"/>
      </w:pPr>
      <w:r w:rsidRPr="00F7015D">
        <w:t>Динамичната същност на съвременните трудови пазари повишава необходимостта от ранна интеграция на младите кадри. Именно тяхното включване на пазара на труда се разглежда като водеща предпоставка за успешното намаляване в перспектива на дела на лицата, живеещи в риск от бедност, материални лишения или в силна зависимост от системите за социално подпомагане. В средносрочен план намаляването на безработицата и повишаването на заетостта сред младите хора се разглежда като основен фактор за постигането на целите, заложени в стратегията Европа 2020.</w:t>
      </w:r>
    </w:p>
    <w:p w:rsidR="008F3F12" w:rsidRPr="00F7015D" w:rsidRDefault="008F3F12" w:rsidP="008F3F12">
      <w:pPr>
        <w:ind w:firstLine="708"/>
        <w:jc w:val="both"/>
      </w:pPr>
      <w:r w:rsidRPr="00F7015D">
        <w:t xml:space="preserve">Много често младежката безработица е пряко свързана с определени социални групи като етническите малцинства, отпадналите от образование (съответно нискообразованите) и жителите на по-бедни и изолирани райони. В резултат на кумулативния ефект на тези характеристики и изброените по-горе фактори, се стига до намаляване на трудовата и социална мобилност сред младите хора. Това означава, че те не могат да достигнат до потенциални работодатели и/или да променят своето местожителство и социален статут. Често подобно развитие на обстоятелствата води до това, че младежите изпадат в състояние на силна зависимост от системите за социално подпомагане. </w:t>
      </w:r>
    </w:p>
    <w:p w:rsidR="008F3F12" w:rsidRPr="00F7015D" w:rsidRDefault="008F3F12" w:rsidP="008F3F12">
      <w:pPr>
        <w:ind w:firstLine="708"/>
        <w:jc w:val="both"/>
      </w:pPr>
      <w:r w:rsidRPr="00F7015D">
        <w:t>Липсата на практически опит и професионални контакти създава трудности както при намирането на първа работа, така и при опити за преминаване от един към друг тип заетост. Младите хора са склонни да сменят сравнително често работното си място с цел намирането на позиция, която в най-пълна степен ги удовлетворява. Това е естествено следствие от техния социален статус и възможността да разчитат на финансова подкрепа от родители/близки, както и от характерни за възрастта фактори като честа промяна на личностните интереси, смяна на местожителство, необходимост от съчетаване на работата и образованието и др. Липсата на опит оказва влияние и върху самият процес на търсене на работа (навици за следене на обяви, явяване на интервюта, участия в конкурси, търсене на съдействие от специализираните държавни институции, агенции и др.).</w:t>
      </w:r>
    </w:p>
    <w:p w:rsidR="008F3F12" w:rsidRPr="00F7015D" w:rsidRDefault="008F3F12" w:rsidP="008F3F12">
      <w:pPr>
        <w:ind w:firstLine="708"/>
        <w:jc w:val="both"/>
      </w:pPr>
      <w:r w:rsidRPr="00F7015D">
        <w:t>По данни на „Бюрото по труда” клон Сунгурларе регистрираните безработни до 31.12.2018г са 445, от които 57 са  безработните младежи, именно до 19г – 2, от 20 до 24- 15,от 25 до 29- 40. Безработица на територията на общината се обуславя допълнително и от два фактора – младежите в трудоспособна възраст напускат общината, за да търсят реализация в по – големите градове и чужбина, а младите, живеещи на територията на общината, в по – голямата си част са ученици.</w:t>
      </w:r>
    </w:p>
    <w:p w:rsidR="008F3F12" w:rsidRPr="00F7015D" w:rsidRDefault="008F3F12" w:rsidP="008F3F12">
      <w:r w:rsidRPr="00F7015D">
        <w:t>1.4.2 Анализ на състоянието</w:t>
      </w:r>
    </w:p>
    <w:p w:rsidR="008F3F12" w:rsidRPr="00F7015D" w:rsidRDefault="008F3F12" w:rsidP="008F3F12">
      <w:pPr>
        <w:ind w:firstLine="708"/>
        <w:jc w:val="both"/>
      </w:pPr>
      <w:r w:rsidRPr="00F7015D">
        <w:t xml:space="preserve">Липсата на стимули и възможности за реализация пред завършилите или напуснали образование превръща Община Сунгурларе в една от общините със сравнително висок дял на младежите, които нито работят, нито преминават през някакъв </w:t>
      </w:r>
      <w:r w:rsidRPr="00F7015D">
        <w:lastRenderedPageBreak/>
        <w:t>вид обучение. Неактивността сред младите се превръща в основен проблем в общината. Младежите изпитват най-сериозни затруднения при реализацията си на пазара на труда. Процентът на заетост сред младежите с основно образование и по ниско  е много по висок . Тези младежи изпитват сериозни затруднения да се реализират на пазара на труда спрямо своите връстници с по-висока степен на образование</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Регистрирани безработни лица към 31.12.2018г.- Община Сунгурларе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7"/>
        <w:gridCol w:w="1241"/>
        <w:gridCol w:w="1215"/>
        <w:gridCol w:w="1230"/>
        <w:gridCol w:w="1226"/>
        <w:gridCol w:w="1258"/>
        <w:gridCol w:w="1265"/>
      </w:tblGrid>
      <w:tr w:rsidR="008F3F12" w:rsidRPr="00F7015D" w:rsidTr="001B0158">
        <w:tc>
          <w:tcPr>
            <w:tcW w:w="1505" w:type="dxa"/>
            <w:vMerge w:val="restart"/>
          </w:tcPr>
          <w:p w:rsidR="008F3F12" w:rsidRPr="00F7015D" w:rsidRDefault="008F3F12" w:rsidP="001B0158">
            <w:pPr>
              <w:jc w:val="center"/>
              <w:rPr>
                <w:b/>
              </w:rPr>
            </w:pPr>
          </w:p>
          <w:p w:rsidR="008F3F12" w:rsidRPr="00F7015D" w:rsidRDefault="008F3F12" w:rsidP="001B0158">
            <w:pPr>
              <w:jc w:val="center"/>
              <w:rPr>
                <w:b/>
              </w:rPr>
            </w:pPr>
            <w:r w:rsidRPr="00F7015D">
              <w:rPr>
                <w:b/>
              </w:rPr>
              <w:t>показатели</w:t>
            </w:r>
          </w:p>
        </w:tc>
        <w:tc>
          <w:tcPr>
            <w:tcW w:w="1296" w:type="dxa"/>
            <w:vMerge w:val="restart"/>
          </w:tcPr>
          <w:p w:rsidR="008F3F12" w:rsidRPr="00F7015D" w:rsidRDefault="008F3F12" w:rsidP="001B0158">
            <w:pPr>
              <w:jc w:val="center"/>
              <w:rPr>
                <w:b/>
              </w:rPr>
            </w:pPr>
          </w:p>
          <w:p w:rsidR="008F3F12" w:rsidRPr="00F7015D" w:rsidRDefault="008F3F12" w:rsidP="001B0158">
            <w:pPr>
              <w:jc w:val="center"/>
              <w:rPr>
                <w:b/>
              </w:rPr>
            </w:pPr>
            <w:r w:rsidRPr="00F7015D">
              <w:rPr>
                <w:b/>
              </w:rPr>
              <w:t>всичко</w:t>
            </w:r>
          </w:p>
        </w:tc>
        <w:tc>
          <w:tcPr>
            <w:tcW w:w="6487" w:type="dxa"/>
            <w:gridSpan w:val="5"/>
          </w:tcPr>
          <w:p w:rsidR="008F3F12" w:rsidRPr="00F7015D" w:rsidRDefault="008F3F12" w:rsidP="001B0158">
            <w:pPr>
              <w:jc w:val="center"/>
              <w:rPr>
                <w:b/>
              </w:rPr>
            </w:pPr>
            <w:r w:rsidRPr="00F7015D">
              <w:rPr>
                <w:b/>
              </w:rPr>
              <w:t>По образование</w:t>
            </w:r>
          </w:p>
        </w:tc>
      </w:tr>
      <w:tr w:rsidR="008F3F12" w:rsidRPr="00F7015D" w:rsidTr="001B0158">
        <w:trPr>
          <w:trHeight w:val="725"/>
        </w:trPr>
        <w:tc>
          <w:tcPr>
            <w:tcW w:w="1505" w:type="dxa"/>
            <w:vMerge/>
          </w:tcPr>
          <w:p w:rsidR="008F3F12" w:rsidRPr="00F7015D" w:rsidRDefault="008F3F12" w:rsidP="001B0158"/>
        </w:tc>
        <w:tc>
          <w:tcPr>
            <w:tcW w:w="1296" w:type="dxa"/>
            <w:vMerge/>
          </w:tcPr>
          <w:p w:rsidR="008F3F12" w:rsidRPr="00F7015D" w:rsidRDefault="008F3F12" w:rsidP="001B0158"/>
        </w:tc>
        <w:tc>
          <w:tcPr>
            <w:tcW w:w="1293" w:type="dxa"/>
          </w:tcPr>
          <w:p w:rsidR="008F3F12" w:rsidRPr="00F7015D" w:rsidRDefault="008F3F12" w:rsidP="001B0158">
            <w:r w:rsidRPr="00F7015D">
              <w:t>висше</w:t>
            </w:r>
          </w:p>
        </w:tc>
        <w:tc>
          <w:tcPr>
            <w:tcW w:w="1297" w:type="dxa"/>
          </w:tcPr>
          <w:p w:rsidR="008F3F12" w:rsidRPr="00F7015D" w:rsidRDefault="008F3F12" w:rsidP="001B0158">
            <w:r w:rsidRPr="00F7015D">
              <w:t>средно</w:t>
            </w:r>
          </w:p>
        </w:tc>
        <w:tc>
          <w:tcPr>
            <w:tcW w:w="1292" w:type="dxa"/>
          </w:tcPr>
          <w:p w:rsidR="008F3F12" w:rsidRPr="00F7015D" w:rsidRDefault="008F3F12" w:rsidP="001B0158">
            <w:r w:rsidRPr="00F7015D">
              <w:t xml:space="preserve"> в т.ч. средно проф.</w:t>
            </w:r>
          </w:p>
        </w:tc>
        <w:tc>
          <w:tcPr>
            <w:tcW w:w="1302" w:type="dxa"/>
          </w:tcPr>
          <w:p w:rsidR="008F3F12" w:rsidRPr="00F7015D" w:rsidRDefault="008F3F12" w:rsidP="001B0158">
            <w:r w:rsidRPr="00F7015D">
              <w:t>основно</w:t>
            </w:r>
          </w:p>
        </w:tc>
        <w:tc>
          <w:tcPr>
            <w:tcW w:w="1303" w:type="dxa"/>
          </w:tcPr>
          <w:p w:rsidR="008F3F12" w:rsidRPr="00F7015D" w:rsidRDefault="008F3F12" w:rsidP="001B0158">
            <w:r w:rsidRPr="00F7015D">
              <w:t>Начално и по-ниско</w:t>
            </w:r>
          </w:p>
        </w:tc>
      </w:tr>
      <w:tr w:rsidR="008F3F12" w:rsidRPr="00F7015D" w:rsidTr="001B0158">
        <w:trPr>
          <w:trHeight w:val="606"/>
        </w:trPr>
        <w:tc>
          <w:tcPr>
            <w:tcW w:w="1505" w:type="dxa"/>
          </w:tcPr>
          <w:p w:rsidR="008F3F12" w:rsidRPr="00F7015D" w:rsidRDefault="008F3F12" w:rsidP="001B0158">
            <w:r w:rsidRPr="00F7015D">
              <w:t>Регистрирани</w:t>
            </w:r>
          </w:p>
          <w:p w:rsidR="008F3F12" w:rsidRPr="00F7015D" w:rsidRDefault="008F3F12" w:rsidP="001B0158">
            <w:r w:rsidRPr="00F7015D">
              <w:t>безработни</w:t>
            </w:r>
          </w:p>
        </w:tc>
        <w:tc>
          <w:tcPr>
            <w:tcW w:w="1296" w:type="dxa"/>
          </w:tcPr>
          <w:p w:rsidR="008F3F12" w:rsidRPr="00F7015D" w:rsidRDefault="008F3F12" w:rsidP="001B0158">
            <w:r w:rsidRPr="00F7015D">
              <w:t>57</w:t>
            </w:r>
          </w:p>
        </w:tc>
        <w:tc>
          <w:tcPr>
            <w:tcW w:w="1293" w:type="dxa"/>
          </w:tcPr>
          <w:p w:rsidR="008F3F12" w:rsidRPr="00F7015D" w:rsidRDefault="008F3F12" w:rsidP="001B0158"/>
        </w:tc>
        <w:tc>
          <w:tcPr>
            <w:tcW w:w="1297" w:type="dxa"/>
          </w:tcPr>
          <w:p w:rsidR="008F3F12" w:rsidRPr="00F7015D" w:rsidRDefault="008F3F12" w:rsidP="001B0158"/>
        </w:tc>
        <w:tc>
          <w:tcPr>
            <w:tcW w:w="1292" w:type="dxa"/>
          </w:tcPr>
          <w:p w:rsidR="008F3F12" w:rsidRPr="00F7015D" w:rsidRDefault="008F3F12" w:rsidP="001B0158"/>
        </w:tc>
        <w:tc>
          <w:tcPr>
            <w:tcW w:w="1302" w:type="dxa"/>
          </w:tcPr>
          <w:p w:rsidR="008F3F12" w:rsidRPr="00F7015D" w:rsidRDefault="008F3F12" w:rsidP="001B0158"/>
        </w:tc>
        <w:tc>
          <w:tcPr>
            <w:tcW w:w="1303" w:type="dxa"/>
          </w:tcPr>
          <w:p w:rsidR="008F3F12" w:rsidRPr="00F7015D" w:rsidRDefault="008F3F12" w:rsidP="001B0158"/>
        </w:tc>
      </w:tr>
      <w:tr w:rsidR="008F3F12" w:rsidRPr="00F7015D" w:rsidTr="001B0158">
        <w:tc>
          <w:tcPr>
            <w:tcW w:w="1505" w:type="dxa"/>
          </w:tcPr>
          <w:p w:rsidR="008F3F12" w:rsidRPr="00F7015D" w:rsidRDefault="008F3F12" w:rsidP="001B0158">
            <w:r w:rsidRPr="00F7015D">
              <w:t>до 19г.</w:t>
            </w:r>
          </w:p>
        </w:tc>
        <w:tc>
          <w:tcPr>
            <w:tcW w:w="1296" w:type="dxa"/>
          </w:tcPr>
          <w:p w:rsidR="008F3F12" w:rsidRPr="00F7015D" w:rsidRDefault="008F3F12" w:rsidP="001B0158"/>
        </w:tc>
        <w:tc>
          <w:tcPr>
            <w:tcW w:w="1293" w:type="dxa"/>
          </w:tcPr>
          <w:p w:rsidR="008F3F12" w:rsidRPr="00F7015D" w:rsidRDefault="008F3F12" w:rsidP="001B0158"/>
        </w:tc>
        <w:tc>
          <w:tcPr>
            <w:tcW w:w="1297" w:type="dxa"/>
          </w:tcPr>
          <w:p w:rsidR="008F3F12" w:rsidRPr="00F7015D" w:rsidRDefault="008F3F12" w:rsidP="001B0158"/>
        </w:tc>
        <w:tc>
          <w:tcPr>
            <w:tcW w:w="1292" w:type="dxa"/>
          </w:tcPr>
          <w:p w:rsidR="008F3F12" w:rsidRPr="00F7015D" w:rsidRDefault="008F3F12" w:rsidP="001B0158"/>
        </w:tc>
        <w:tc>
          <w:tcPr>
            <w:tcW w:w="1302" w:type="dxa"/>
          </w:tcPr>
          <w:p w:rsidR="008F3F12" w:rsidRPr="00F7015D" w:rsidRDefault="008F3F12" w:rsidP="001B0158">
            <w:r w:rsidRPr="00F7015D">
              <w:t>2</w:t>
            </w:r>
          </w:p>
        </w:tc>
        <w:tc>
          <w:tcPr>
            <w:tcW w:w="1303" w:type="dxa"/>
          </w:tcPr>
          <w:p w:rsidR="008F3F12" w:rsidRPr="00F7015D" w:rsidRDefault="008F3F12" w:rsidP="001B0158"/>
        </w:tc>
      </w:tr>
      <w:tr w:rsidR="008F3F12" w:rsidRPr="00F7015D" w:rsidTr="001B0158">
        <w:tc>
          <w:tcPr>
            <w:tcW w:w="1505" w:type="dxa"/>
          </w:tcPr>
          <w:p w:rsidR="008F3F12" w:rsidRPr="00F7015D" w:rsidRDefault="008F3F12" w:rsidP="001B0158">
            <w:r w:rsidRPr="00F7015D">
              <w:t>от 20 до 24г.</w:t>
            </w:r>
          </w:p>
        </w:tc>
        <w:tc>
          <w:tcPr>
            <w:tcW w:w="1296" w:type="dxa"/>
          </w:tcPr>
          <w:p w:rsidR="008F3F12" w:rsidRPr="00F7015D" w:rsidRDefault="008F3F12" w:rsidP="001B0158"/>
        </w:tc>
        <w:tc>
          <w:tcPr>
            <w:tcW w:w="1293" w:type="dxa"/>
          </w:tcPr>
          <w:p w:rsidR="008F3F12" w:rsidRPr="00F7015D" w:rsidRDefault="008F3F12" w:rsidP="001B0158"/>
        </w:tc>
        <w:tc>
          <w:tcPr>
            <w:tcW w:w="1297" w:type="dxa"/>
          </w:tcPr>
          <w:p w:rsidR="008F3F12" w:rsidRPr="00F7015D" w:rsidRDefault="008F3F12" w:rsidP="001B0158">
            <w:r w:rsidRPr="00F7015D">
              <w:t>8</w:t>
            </w:r>
          </w:p>
        </w:tc>
        <w:tc>
          <w:tcPr>
            <w:tcW w:w="1292" w:type="dxa"/>
          </w:tcPr>
          <w:p w:rsidR="008F3F12" w:rsidRPr="00F7015D" w:rsidRDefault="008F3F12" w:rsidP="001B0158">
            <w:r w:rsidRPr="00F7015D">
              <w:t>-</w:t>
            </w:r>
          </w:p>
        </w:tc>
        <w:tc>
          <w:tcPr>
            <w:tcW w:w="1302" w:type="dxa"/>
          </w:tcPr>
          <w:p w:rsidR="008F3F12" w:rsidRPr="00F7015D" w:rsidRDefault="008F3F12" w:rsidP="001B0158">
            <w:r w:rsidRPr="00F7015D">
              <w:t>7</w:t>
            </w:r>
          </w:p>
        </w:tc>
        <w:tc>
          <w:tcPr>
            <w:tcW w:w="1303" w:type="dxa"/>
          </w:tcPr>
          <w:p w:rsidR="008F3F12" w:rsidRPr="00F7015D" w:rsidRDefault="008F3F12" w:rsidP="001B0158"/>
        </w:tc>
      </w:tr>
      <w:tr w:rsidR="008F3F12" w:rsidRPr="00F7015D" w:rsidTr="001B0158">
        <w:tc>
          <w:tcPr>
            <w:tcW w:w="1505" w:type="dxa"/>
          </w:tcPr>
          <w:p w:rsidR="008F3F12" w:rsidRPr="00F7015D" w:rsidRDefault="008F3F12" w:rsidP="001B0158">
            <w:r w:rsidRPr="00F7015D">
              <w:t>от 25 до 29г.</w:t>
            </w:r>
          </w:p>
        </w:tc>
        <w:tc>
          <w:tcPr>
            <w:tcW w:w="1296" w:type="dxa"/>
          </w:tcPr>
          <w:p w:rsidR="008F3F12" w:rsidRPr="00F7015D" w:rsidRDefault="008F3F12" w:rsidP="001B0158">
            <w:r w:rsidRPr="00F7015D">
              <w:t>40</w:t>
            </w:r>
          </w:p>
        </w:tc>
        <w:tc>
          <w:tcPr>
            <w:tcW w:w="1293" w:type="dxa"/>
          </w:tcPr>
          <w:p w:rsidR="008F3F12" w:rsidRPr="00F7015D" w:rsidRDefault="008F3F12" w:rsidP="001B0158"/>
        </w:tc>
        <w:tc>
          <w:tcPr>
            <w:tcW w:w="1297" w:type="dxa"/>
          </w:tcPr>
          <w:p w:rsidR="008F3F12" w:rsidRPr="00F7015D" w:rsidRDefault="008F3F12" w:rsidP="001B0158">
            <w:r w:rsidRPr="00F7015D">
              <w:t>18</w:t>
            </w:r>
          </w:p>
        </w:tc>
        <w:tc>
          <w:tcPr>
            <w:tcW w:w="1292" w:type="dxa"/>
          </w:tcPr>
          <w:p w:rsidR="008F3F12" w:rsidRPr="00F7015D" w:rsidRDefault="008F3F12" w:rsidP="001B0158">
            <w:r w:rsidRPr="00F7015D">
              <w:t>4</w:t>
            </w:r>
          </w:p>
        </w:tc>
        <w:tc>
          <w:tcPr>
            <w:tcW w:w="1302" w:type="dxa"/>
          </w:tcPr>
          <w:p w:rsidR="008F3F12" w:rsidRPr="00F7015D" w:rsidRDefault="008F3F12" w:rsidP="001B0158">
            <w:r w:rsidRPr="00F7015D">
              <w:t>18</w:t>
            </w:r>
          </w:p>
        </w:tc>
        <w:tc>
          <w:tcPr>
            <w:tcW w:w="1303" w:type="dxa"/>
          </w:tcPr>
          <w:p w:rsidR="008F3F12" w:rsidRPr="00F7015D" w:rsidRDefault="008F3F12" w:rsidP="001B0158"/>
        </w:tc>
      </w:tr>
    </w:tbl>
    <w:p w:rsidR="008F3F12" w:rsidRPr="00F7015D" w:rsidRDefault="008F3F12" w:rsidP="008F3F12"/>
    <w:p w:rsidR="008F3F12" w:rsidRPr="00F7015D" w:rsidRDefault="008F3F12" w:rsidP="008F3F12">
      <w:pPr>
        <w:ind w:firstLine="708"/>
      </w:pPr>
      <w:r w:rsidRPr="00F7015D">
        <w:t>Бюрата по труда са сравнително ниско популярни сред младежката възрастова група като институция, която може да им осигури работа. Най-често работа се търси чрез приятели и интернет, следвани от  чрез близки и роднини и  Бюрата по труда</w:t>
      </w:r>
    </w:p>
    <w:p w:rsidR="008F3F12" w:rsidRPr="00F7015D" w:rsidRDefault="008F3F12" w:rsidP="008F3F12">
      <w:r w:rsidRPr="00F7015D">
        <w:t>1.4.3 Предприети мерки</w:t>
      </w:r>
    </w:p>
    <w:p w:rsidR="008F3F12" w:rsidRPr="00F7015D" w:rsidRDefault="008F3F12" w:rsidP="008F3F12">
      <w:pPr>
        <w:ind w:firstLine="708"/>
        <w:jc w:val="both"/>
        <w:rPr>
          <w:color w:val="FF0000"/>
        </w:rPr>
      </w:pPr>
      <w:r w:rsidRPr="00F7015D">
        <w:t xml:space="preserve">Безработните младежи до </w:t>
      </w:r>
      <w:smartTag w:uri="urn:schemas-microsoft-com:office:smarttags" w:element="metricconverter">
        <w:smartTagPr>
          <w:attr w:name="ProductID" w:val="29 г"/>
        </w:smartTagPr>
        <w:r w:rsidRPr="00F7015D">
          <w:t>29 г</w:t>
        </w:r>
      </w:smartTag>
      <w:r w:rsidRPr="00F7015D">
        <w:t xml:space="preserve">., с подгрупа до </w:t>
      </w:r>
      <w:smartTag w:uri="urn:schemas-microsoft-com:office:smarttags" w:element="metricconverter">
        <w:smartTagPr>
          <w:attr w:name="ProductID" w:val="25 г"/>
        </w:smartTagPr>
        <w:r w:rsidRPr="00F7015D">
          <w:t>25 г</w:t>
        </w:r>
      </w:smartTag>
      <w:r w:rsidRPr="00F7015D">
        <w:t>., които не се обучават, нито са заети, са една от основните целеви групи на активната политика на пазара на труда през 2018г. И през 2018 г. всички дейности на политиката за намаляване на безработицата сред младежите се изпълняват в контекста на Националния план за изпълнение на европейската гаранция за младежта . Изпълнението на националната гаранция за младежта започва с мерки и програми, финансирани със средства от държавния бюджет</w:t>
      </w:r>
      <w:r w:rsidRPr="00F7015D">
        <w:rPr>
          <w:color w:val="FF0000"/>
        </w:rPr>
        <w:t xml:space="preserve">. </w:t>
      </w:r>
    </w:p>
    <w:p w:rsidR="008F3F12" w:rsidRPr="00F7015D" w:rsidRDefault="008F3F12" w:rsidP="008F3F12">
      <w:pPr>
        <w:ind w:firstLine="708"/>
        <w:jc w:val="both"/>
      </w:pPr>
      <w:r w:rsidRPr="00F7015D">
        <w:t>През 2018г включени младежи в ОПРЧР -35 бр. Обучение и заетост на младите хора /ОЗМХ/ са включени 26 млади хора, Схема „Работа“-3 бр.Схема „Младежка заетост“-6 бр. Финансирани от държавния / националния бюджет включени младежи по мярка по заетост по ЗНЗ – 4 бройки. Включени в регионална програма за заетост по ЗНЗ /РП Община Сунгурларе/ - 5 младежи.</w:t>
      </w:r>
    </w:p>
    <w:p w:rsidR="008F3F12" w:rsidRPr="00F7015D" w:rsidRDefault="008F3F12" w:rsidP="008F3F12">
      <w:pPr>
        <w:ind w:firstLine="708"/>
        <w:jc w:val="both"/>
      </w:pPr>
      <w:r w:rsidRPr="00F7015D">
        <w:t>Започнали работа младежи  с посредничеството на Бюрото по труда – 46 бр.</w:t>
      </w:r>
    </w:p>
    <w:p w:rsidR="008F3F12" w:rsidRPr="00F7015D" w:rsidRDefault="008F3F12" w:rsidP="008F3F12">
      <w:pPr>
        <w:ind w:firstLine="708"/>
        <w:jc w:val="both"/>
      </w:pPr>
      <w:r w:rsidRPr="00F7015D">
        <w:t>В групово мероприятие „Ателие за търсене на работа“ за 2018 г са участвали – 78 младежи.</w:t>
      </w:r>
    </w:p>
    <w:p w:rsidR="008F3F12" w:rsidRPr="00F7015D" w:rsidRDefault="008F3F12" w:rsidP="008F3F12">
      <w:pPr>
        <w:ind w:firstLine="708"/>
        <w:jc w:val="both"/>
      </w:pPr>
      <w:r w:rsidRPr="00F7015D">
        <w:t>През 2018 г. на 114 младежи са предоставени консултантски услуги, включващи подпомагане за самостоятелно търсене на работа, консултиране за професионално развитие, информиране за свободни работни места и изискванията за заемането им, консултиране за възможностите за включване в проекта по Оперативна програма РЧР; насочване   и включване в групови мероприятия за професионално ориентиране и мотивиране на всички младежи до 29 години, регистрирани в бюрата по труда.</w:t>
      </w:r>
    </w:p>
    <w:p w:rsidR="008F3F12" w:rsidRPr="00F7015D" w:rsidRDefault="008F3F12" w:rsidP="008F3F12">
      <w:pPr>
        <w:ind w:firstLine="708"/>
        <w:jc w:val="both"/>
        <w:rPr>
          <w:color w:val="FF0000"/>
        </w:rPr>
      </w:pPr>
    </w:p>
    <w:p w:rsidR="008F3F12" w:rsidRPr="00F7015D" w:rsidRDefault="008F3F12" w:rsidP="008F3F12">
      <w:pPr>
        <w:ind w:firstLine="708"/>
        <w:jc w:val="both"/>
        <w:rPr>
          <w:color w:val="FF0000"/>
        </w:rPr>
      </w:pPr>
    </w:p>
    <w:p w:rsidR="008F3F12" w:rsidRPr="00F7015D" w:rsidRDefault="008F3F12" w:rsidP="008F3F12">
      <w:pPr>
        <w:jc w:val="both"/>
        <w:rPr>
          <w:b/>
        </w:rPr>
      </w:pPr>
      <w:r w:rsidRPr="00F7015D">
        <w:rPr>
          <w:b/>
        </w:rPr>
        <w:t>1.5 САМОНАЕМАНЕ И ПРЕДПРИЕМАЧЕСТВО</w:t>
      </w:r>
    </w:p>
    <w:p w:rsidR="008F3F12" w:rsidRPr="00F7015D" w:rsidRDefault="008F3F12" w:rsidP="008F3F12">
      <w:r w:rsidRPr="00F7015D">
        <w:t xml:space="preserve">1.5.1 Състояние на индикатора </w:t>
      </w:r>
    </w:p>
    <w:p w:rsidR="008F3F12" w:rsidRPr="00F7015D" w:rsidRDefault="008F3F12" w:rsidP="008F3F12">
      <w:pPr>
        <w:ind w:firstLine="708"/>
      </w:pPr>
      <w:r w:rsidRPr="00F7015D">
        <w:t>Плановете и инициативите на младите хора за предприемачество са ключови за развитието на икономиката на страната в перспектива. Не е малък делът на младежите, които възнамеряват да започнат частен бизнес.</w:t>
      </w:r>
    </w:p>
    <w:p w:rsidR="008F3F12" w:rsidRPr="00F7015D" w:rsidRDefault="008F3F12" w:rsidP="008F3F12">
      <w:r w:rsidRPr="00F7015D">
        <w:t>1.5.2 Анализ на състоянието</w:t>
      </w:r>
    </w:p>
    <w:p w:rsidR="008F3F12" w:rsidRPr="00F7015D" w:rsidRDefault="008F3F12" w:rsidP="008F3F12">
      <w:pPr>
        <w:ind w:firstLine="708"/>
        <w:jc w:val="both"/>
      </w:pPr>
      <w:r w:rsidRPr="00F7015D">
        <w:lastRenderedPageBreak/>
        <w:t>Предприемачеството е мощен двигател за икономически растеж и създаване на работни места, като насърчаването на предприемаческо мислене повишава пригодността на младите хора за заетост. Предприемачеството, а по-конкретно малките и средните предприятия, са гръбнакът на икономиката на ЕС и представляват най-важният източник за нова заетост.</w:t>
      </w:r>
    </w:p>
    <w:p w:rsidR="008F3F12" w:rsidRPr="00F7015D" w:rsidRDefault="008F3F12" w:rsidP="008F3F12">
      <w:pPr>
        <w:ind w:firstLine="708"/>
        <w:jc w:val="both"/>
      </w:pPr>
      <w:r w:rsidRPr="00F7015D">
        <w:t>В тази връзка, все повече се наблюдава необходимост от промяна в представата на обществото за предприемачите, както и образованието по предприемачество да се застъпи по-сериозно, а групите, които са по-слабо представени, като например младите хора, жените и хората от етническите малцинства, да получат специално внимание и помощ, за да създадат, разработят или разширят фирма или предприятие</w:t>
      </w:r>
    </w:p>
    <w:p w:rsidR="008F3F12" w:rsidRPr="00F7015D" w:rsidRDefault="008F3F12" w:rsidP="008F3F12">
      <w:pPr>
        <w:ind w:firstLine="708"/>
        <w:jc w:val="both"/>
      </w:pPr>
    </w:p>
    <w:p w:rsidR="008F3F12" w:rsidRPr="00F7015D" w:rsidRDefault="008F3F12" w:rsidP="008F3F12">
      <w:pPr>
        <w:rPr>
          <w:b/>
        </w:rPr>
      </w:pPr>
      <w:r w:rsidRPr="00F7015D">
        <w:rPr>
          <w:b/>
        </w:rPr>
        <w:t>1.6 ПРОФЕСИОНАЛНО ОРИЕНТИРАНЕ И РЕАЛИЗАЦИЯ</w:t>
      </w:r>
    </w:p>
    <w:p w:rsidR="008F3F12" w:rsidRPr="00F7015D" w:rsidRDefault="008F3F12" w:rsidP="008F3F12">
      <w:r w:rsidRPr="00F7015D">
        <w:t>1.6.1 Състояние на изследвания индикатор</w:t>
      </w:r>
    </w:p>
    <w:p w:rsidR="008F3F12" w:rsidRPr="00F7015D" w:rsidRDefault="008F3F12" w:rsidP="008F3F12">
      <w:pPr>
        <w:ind w:firstLine="708"/>
        <w:jc w:val="both"/>
      </w:pPr>
      <w:r w:rsidRPr="00F7015D">
        <w:t>Професионалното ориентиране е определящо за подготовката на кадри с квалификация, съответстваща на изискванията на пазара на труда. Търсенето на работна сила се изменя в зависимост от общото състояние на икономиката, сезонните фактори и развитието на субсидираната заетост. Решението на работодателя за реализиране на труд, с определени количествени и качествени характеристики, е от решаващо значение. Тези специфични фактори, заедно с европейските и световните тенденции за непрекъснато нарастване на изискванията към пригодността за заетост, определят необходимостта от продължаващо професионално обучение, както във всички възрастови групи на работната сила, така и в териториален аспект.</w:t>
      </w:r>
    </w:p>
    <w:p w:rsidR="008F3F12" w:rsidRPr="00F7015D" w:rsidRDefault="008F3F12" w:rsidP="008F3F12">
      <w:pPr>
        <w:ind w:firstLine="708"/>
        <w:jc w:val="both"/>
        <w:rPr>
          <w:color w:val="FF0000"/>
        </w:rPr>
      </w:pPr>
    </w:p>
    <w:p w:rsidR="008F3F12" w:rsidRPr="00F7015D" w:rsidRDefault="008F3F12" w:rsidP="008F3F12">
      <w:pPr>
        <w:ind w:firstLine="708"/>
        <w:jc w:val="both"/>
      </w:pPr>
      <w:r w:rsidRPr="00F7015D">
        <w:t>1.6.2 Анализ на състоянието</w:t>
      </w:r>
    </w:p>
    <w:p w:rsidR="008F3F12" w:rsidRPr="00F7015D" w:rsidRDefault="008F3F12" w:rsidP="008F3F12">
      <w:pPr>
        <w:ind w:firstLine="708"/>
        <w:jc w:val="both"/>
        <w:rPr>
          <w:shd w:val="clear" w:color="auto" w:fill="FFFFFF"/>
        </w:rPr>
      </w:pPr>
      <w:r w:rsidRPr="00F7015D">
        <w:rPr>
          <w:shd w:val="clear" w:color="auto" w:fill="FFFFFF"/>
        </w:rPr>
        <w:t xml:space="preserve"> Образователната система трябва да  бъде модернизирана и променена, така че да отговоря на нуждите и желанията на обучаващите се, а не на преподаватели, директори и образователни специалисти. Промяната в образователния модел е наложителна незабавно и не търпи отлагане. От една страна, трябва да се получи цялостно стиковане на дългосрочната държавна стратегия за икономическо развитие на България и нуждата от кадри, които да я осъществят - ако ще развиваме технологии, нека да се помисли за създаването и образоването на такива кадри, за да няма пропаст между търсене и предлагане. От друга страна, самата образователна програма следва да бъде адаптирана към съвременните деца, които имат неограничен достъп до информация и не е необходимо да наизустяват уроци, а да бъдат научени да разсъждават, да работят в екип и бъдат гъвкави и адаптивни. Когато е възможно, защо не обучението да излезе от класните стаи и да бъде в музеи, арт центрове, компании.</w:t>
      </w:r>
    </w:p>
    <w:p w:rsidR="008F3F12" w:rsidRPr="00F7015D" w:rsidRDefault="008F3F12" w:rsidP="008F3F12"/>
    <w:p w:rsidR="008F3F12" w:rsidRPr="00F7015D" w:rsidRDefault="008F3F12" w:rsidP="008F3F12">
      <w:pPr>
        <w:ind w:firstLine="708"/>
        <w:jc w:val="both"/>
      </w:pPr>
      <w:r w:rsidRPr="00F7015D">
        <w:t xml:space="preserve"> Образованието често не е свързано с това, което младежите работят. Това е косвен индикатор, че младите хора или не са имали ясна ориентация с какво биха искали да се занимават, когато са избирали образованието си или все още не са успели да намерят работа по своята специалност</w:t>
      </w:r>
    </w:p>
    <w:p w:rsidR="008F3F12" w:rsidRPr="00F7015D" w:rsidRDefault="008F3F12" w:rsidP="008F3F12">
      <w:r w:rsidRPr="00F7015D">
        <w:t>1.6.3 Предприети мерки</w:t>
      </w:r>
    </w:p>
    <w:p w:rsidR="008F3F12" w:rsidRPr="00F7015D" w:rsidRDefault="008F3F12" w:rsidP="008F3F12">
      <w:pPr>
        <w:ind w:firstLine="708"/>
        <w:jc w:val="both"/>
      </w:pPr>
      <w:r w:rsidRPr="00F7015D">
        <w:t>През ноември 2018г в СУ „Христо Ботев“ гр. Сунгурларе се проведе групова информационна среща на кариерен консултант Бургас „ Кариерен център“ с ученици завършващи 12 клас за представяне на посредническите услуги на бюрата по труда с цел улесняване прехода от образование към заетост. Участие в срещата взеха 23 ученици. Мероприятието беше осигурено с информационни материали и мултимедийно представяне / видеофилм/ от кариерен консултант Валентин Жеков от гр. Бургас</w:t>
      </w:r>
    </w:p>
    <w:p w:rsidR="008F3F12" w:rsidRPr="00F7015D" w:rsidRDefault="008F3F12" w:rsidP="008F3F12">
      <w:pPr>
        <w:ind w:firstLine="708"/>
        <w:rPr>
          <w:color w:val="FF0000"/>
        </w:rPr>
      </w:pPr>
      <w:r w:rsidRPr="00F7015D">
        <w:t xml:space="preserve">Подготовката на младите хора в училищна възраст да направят образователен и  професионален избор се осъществява чрез обучението по отделните учебни предмети, </w:t>
      </w:r>
      <w:r w:rsidRPr="00F7015D">
        <w:lastRenderedPageBreak/>
        <w:t>практическото обучение по професии, различните извънкласни форми на работа, олимпиади на училищно, регионално, национално ниво. Организират се форуми по професионално ориентиране , срещи –разговори с работодатели. Услугите по професионално ориентиране в СУ „Христо Ботев” гр. Сунгурларе   се предоставят от учители и класни ръководители, педагогически съветник в училище.</w:t>
      </w:r>
      <w:r w:rsidRPr="00F7015D">
        <w:rPr>
          <w:color w:val="FF0000"/>
        </w:rPr>
        <w:t>.</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ПРИОРИТЕТ II:ПОДОБРЯВАНЕ НА ДОСТЪПА ДО ИНФОРМАЦИЯ И КАЧЕСТВЕНИ УСЛУГИ</w:t>
      </w:r>
    </w:p>
    <w:p w:rsidR="008F3F12" w:rsidRPr="00F7015D" w:rsidRDefault="008F3F12" w:rsidP="008F3F12">
      <w:r w:rsidRPr="00F7015D">
        <w:t>2.1. РАЗШИРЯВАНЕ НА ОБХВАТА И ПОВИШАВАНЕ НА КАЧЕСТВОТО И</w:t>
      </w:r>
    </w:p>
    <w:p w:rsidR="008F3F12" w:rsidRPr="00F7015D" w:rsidRDefault="008F3F12" w:rsidP="008F3F12">
      <w:r w:rsidRPr="00F7015D">
        <w:t>ДОСТЪПНОСТТА НА УСЛУГИТЕ В ПОДКРЕПА НА РАЗВИТИЕТО НА МЛАДИТЕ</w:t>
      </w:r>
    </w:p>
    <w:p w:rsidR="008F3F12" w:rsidRPr="00F7015D" w:rsidRDefault="008F3F12" w:rsidP="008F3F12">
      <w:r w:rsidRPr="00F7015D">
        <w:t>ХОРА</w:t>
      </w:r>
    </w:p>
    <w:p w:rsidR="008F3F12" w:rsidRPr="00F7015D" w:rsidRDefault="008F3F12" w:rsidP="008F3F12">
      <w:r w:rsidRPr="00F7015D">
        <w:t>2.1.2 Анализ на състоянието</w:t>
      </w:r>
    </w:p>
    <w:p w:rsidR="008F3F12" w:rsidRPr="00F7015D" w:rsidRDefault="008F3F12" w:rsidP="008F3F12">
      <w:pPr>
        <w:ind w:firstLine="708"/>
        <w:jc w:val="both"/>
      </w:pPr>
      <w:r w:rsidRPr="00F7015D">
        <w:t>Търсенето на специализирана информация, консултации и услуги сред младите хора е много слабо.  Използването на интернет и компютър е основен източник на информация за днешното младо поколение. 90% от младите хора в Общината имат достъп до компютър с интернет, болшинството категорично заявяват, че могат да работят с компютър, а само на много малка част компютърната им грамотност е слаба.</w:t>
      </w:r>
    </w:p>
    <w:p w:rsidR="008F3F12" w:rsidRPr="00F7015D" w:rsidRDefault="008F3F12" w:rsidP="008F3F12">
      <w:pPr>
        <w:ind w:firstLine="708"/>
        <w:jc w:val="both"/>
      </w:pPr>
      <w:r w:rsidRPr="00F7015D">
        <w:t>Все повече се засилва тенденцията младите хора да работят с компютър и да ползват интернет. Мрежата се ползва най-вече за комуникация и търсене на информация, но не може да се твърди, че използването й замества живото общуване. В днешно време използването на библиотеките от младите хора е много слабо.</w:t>
      </w:r>
    </w:p>
    <w:p w:rsidR="008F3F12" w:rsidRPr="00F7015D" w:rsidRDefault="008F3F12" w:rsidP="008F3F12">
      <w:pPr>
        <w:ind w:firstLine="708"/>
        <w:jc w:val="both"/>
      </w:pPr>
      <w:r w:rsidRPr="00F7015D">
        <w:t xml:space="preserve"> От 2010г. в резултат на инициативата „Глобални библиотеки” в  гр. Сунгурларе и в селата Лозарево, Подвис  и Прилеп се оборудваха компютърни зали със свободен режим на ползване и достъп до интернет. Тези зали се ползват предимно от младите хора. Все още има населени места в община Сунгурларе, в които поради  ограничения на релефа няма интернет-покритие. Младите хора в тези села са практически изолирани</w:t>
      </w:r>
    </w:p>
    <w:p w:rsidR="008F3F12" w:rsidRPr="00F7015D" w:rsidRDefault="008F3F12" w:rsidP="008F3F12">
      <w:r w:rsidRPr="00F7015D">
        <w:t xml:space="preserve">2.1.3 Предприети мерки </w:t>
      </w:r>
    </w:p>
    <w:p w:rsidR="008F3F12" w:rsidRPr="00F7015D" w:rsidRDefault="008F3F12" w:rsidP="008F3F12">
      <w:pPr>
        <w:ind w:firstLine="708"/>
        <w:jc w:val="both"/>
        <w:rPr>
          <w:color w:val="FF0000"/>
        </w:rPr>
      </w:pPr>
      <w:r w:rsidRPr="00F7015D">
        <w:t>Основните мерки, които Община Сунгурларе прилага за осигуряване на информационни услуги по отношение на рисковете, свързани с начините за предпазване от ХИВ и други сексуално предавани инфекции, както и по отношение на сексуалното и репродуктивно здраве и правата на младите хора на възраст 15-29 години, са кампанийни дейности.</w:t>
      </w:r>
      <w:r w:rsidRPr="00F7015D">
        <w:rPr>
          <w:color w:val="FF0000"/>
        </w:rPr>
        <w:t xml:space="preserve"> </w:t>
      </w:r>
      <w:r w:rsidRPr="00F7015D">
        <w:t>По предварително съставен план от медицинските специалисти към здравните кабинети в училищата се извършват  информационни кампании по въпроси вълнуващи подрастващите.</w:t>
      </w:r>
    </w:p>
    <w:p w:rsidR="008F3F12" w:rsidRPr="00F7015D" w:rsidRDefault="008F3F12" w:rsidP="008F3F12">
      <w:pPr>
        <w:ind w:firstLine="708"/>
        <w:jc w:val="both"/>
      </w:pPr>
      <w:r w:rsidRPr="00F7015D">
        <w:t xml:space="preserve">Интернет като средство за информация се явява ефективен източник, който е използван регулярно от младите хора с цел да се запознаят с актуалните услуги, събития и дейности насочени към граждани на Община Сунгурларе. В интернет страницата </w:t>
      </w:r>
      <w:hyperlink r:id="rId8" w:history="1">
        <w:r w:rsidRPr="00F7015D">
          <w:rPr>
            <w:rStyle w:val="a5"/>
          </w:rPr>
          <w:t>http://www.sungurlare.org/</w:t>
        </w:r>
      </w:hyperlink>
      <w:r w:rsidRPr="00F7015D">
        <w:t xml:space="preserve"> се съдържа наличната за това информация, която се актуализира непрекъснато. Така, при проявен интерес от тяхна страна младежите до </w:t>
      </w:r>
      <w:smartTag w:uri="urn:schemas-microsoft-com:office:smarttags" w:element="metricconverter">
        <w:smartTagPr>
          <w:attr w:name="ProductID" w:val="29 г"/>
        </w:smartTagPr>
        <w:r w:rsidRPr="00F7015D">
          <w:t>29 г</w:t>
        </w:r>
      </w:smartTag>
      <w:r w:rsidRPr="00F7015D">
        <w:t>. се запознават с публичните институции, с възможностите и с  правата им   като част от местната общност и като граждани на Р България и ЕС.</w:t>
      </w:r>
    </w:p>
    <w:p w:rsidR="008F3F12" w:rsidRPr="00F7015D" w:rsidRDefault="008F3F12" w:rsidP="008F3F12">
      <w:pPr>
        <w:ind w:firstLine="708"/>
        <w:jc w:val="both"/>
      </w:pPr>
      <w:r w:rsidRPr="00F7015D">
        <w:t>През 2018 г. са реализирани кампании по повод промяна на рисковото поведение, намаляване на агресията, тормоза в училище, дискриминацията. Проведени са беседи и презентации в училищата.</w:t>
      </w:r>
    </w:p>
    <w:p w:rsidR="008F3F12" w:rsidRPr="00F7015D" w:rsidRDefault="008F3F12" w:rsidP="008F3F12">
      <w:pPr>
        <w:ind w:firstLine="708"/>
        <w:jc w:val="both"/>
        <w:rPr>
          <w:color w:val="FF0000"/>
        </w:rPr>
      </w:pPr>
      <w:r w:rsidRPr="00F7015D">
        <w:t xml:space="preserve">От друга страна, на територията на Община Сунгурларе функционират 18 читалища финансирани от общината. Те са среда, предоставяща ценна информация, насочена към младите, развиват културни дейности, неформалното образование, гражданското образование и други важни аспекти за развитието на младежта на територията на общината. За развитието на творческите умения и културното изразяване на младите хора, през 2018г. е подкрепено институционално и финансово </w:t>
      </w:r>
      <w:r w:rsidRPr="00F7015D">
        <w:lastRenderedPageBreak/>
        <w:t xml:space="preserve">организирането на фестивали, събори, конкурси, спектакли и други събития, които дават възможност за изява и развитие на млади таланти в нашата община. Те се организират  освен от читалищата, така и от училища и  ЦПЛР-ОДК и  често пъти със съдействието на общинската  администрация. </w:t>
      </w:r>
    </w:p>
    <w:p w:rsidR="008F3F12" w:rsidRPr="00F7015D" w:rsidRDefault="008F3F12" w:rsidP="008F3F12">
      <w:pPr>
        <w:ind w:firstLine="708"/>
        <w:jc w:val="both"/>
        <w:rPr>
          <w:color w:val="FF0000"/>
        </w:rPr>
      </w:pPr>
    </w:p>
    <w:p w:rsidR="008F3F12" w:rsidRPr="00F7015D" w:rsidRDefault="008F3F12" w:rsidP="008F3F12">
      <w:pPr>
        <w:rPr>
          <w:b/>
          <w:color w:val="FF0000"/>
        </w:rPr>
      </w:pPr>
      <w:r w:rsidRPr="00F7015D">
        <w:rPr>
          <w:b/>
        </w:rPr>
        <w:t>ПРИОРИТЕТ III: НАСЪРЧАВАНЕ НА ЗДРАВОСЛОВЕН НАЧИН НА ЖИВОТ</w:t>
      </w:r>
    </w:p>
    <w:p w:rsidR="008F3F12" w:rsidRPr="00F7015D" w:rsidRDefault="008F3F12" w:rsidP="008F3F12">
      <w:pPr>
        <w:rPr>
          <w:b/>
          <w:color w:val="FF0000"/>
        </w:rPr>
      </w:pPr>
    </w:p>
    <w:p w:rsidR="008F3F12" w:rsidRPr="00F7015D" w:rsidRDefault="008F3F12" w:rsidP="008F3F12">
      <w:pPr>
        <w:jc w:val="both"/>
      </w:pPr>
      <w:r w:rsidRPr="00F7015D">
        <w:t>3.1 МЛАДИ ХОРА, ПРАКТИКУВАЩИ СПОРТНИ ДЕЙНОСТИ</w:t>
      </w:r>
    </w:p>
    <w:p w:rsidR="008F3F12" w:rsidRPr="00F7015D" w:rsidRDefault="008F3F12" w:rsidP="008F3F12">
      <w:pPr>
        <w:jc w:val="both"/>
      </w:pPr>
      <w:r w:rsidRPr="00F7015D">
        <w:t>3.1.1 Състояние на индикатора</w:t>
      </w:r>
    </w:p>
    <w:p w:rsidR="008F3F12" w:rsidRPr="00F7015D" w:rsidRDefault="008F3F12" w:rsidP="008F3F12">
      <w:pPr>
        <w:ind w:firstLine="709"/>
        <w:jc w:val="both"/>
        <w:rPr>
          <w:sz w:val="22"/>
          <w:szCs w:val="22"/>
          <w:lang w:eastAsia="en-US"/>
        </w:rPr>
      </w:pPr>
      <w:r w:rsidRPr="00F7015D">
        <w:rPr>
          <w:rFonts w:eastAsia="Calibri"/>
          <w:sz w:val="22"/>
          <w:szCs w:val="22"/>
          <w:lang w:eastAsia="en-US"/>
        </w:rPr>
        <w:t>Във всички  училища в община Сунгурларе</w:t>
      </w:r>
      <w:r w:rsidRPr="00F7015D">
        <w:rPr>
          <w:sz w:val="22"/>
          <w:szCs w:val="22"/>
          <w:lang w:eastAsia="en-US"/>
        </w:rPr>
        <w:t xml:space="preserve"> </w:t>
      </w:r>
      <w:r w:rsidRPr="00F7015D">
        <w:rPr>
          <w:rFonts w:eastAsia="Calibri"/>
          <w:sz w:val="22"/>
          <w:szCs w:val="22"/>
          <w:lang w:eastAsia="en-US"/>
        </w:rPr>
        <w:t>са разкрити здравни кабинети, в които медицинските специалисти оказват първа долекарска медицинска помощ на учениците и работят по Национални програми</w:t>
      </w:r>
      <w:r w:rsidRPr="00F7015D">
        <w:rPr>
          <w:rFonts w:eastAsia="Calibri"/>
          <w:bCs/>
          <w:sz w:val="22"/>
          <w:szCs w:val="22"/>
          <w:lang w:eastAsia="en-US"/>
        </w:rPr>
        <w:t xml:space="preserve"> за промоция на здравето и профилактика на болестите</w:t>
      </w:r>
      <w:r w:rsidRPr="00F7015D">
        <w:rPr>
          <w:sz w:val="22"/>
          <w:szCs w:val="22"/>
          <w:lang w:eastAsia="en-US"/>
        </w:rPr>
        <w:t xml:space="preserve">. </w:t>
      </w:r>
    </w:p>
    <w:p w:rsidR="008F3F12" w:rsidRPr="00F7015D" w:rsidRDefault="008F3F12" w:rsidP="008F3F12">
      <w:pPr>
        <w:ind w:firstLine="709"/>
        <w:jc w:val="both"/>
        <w:rPr>
          <w:color w:val="0000FF"/>
          <w:lang w:eastAsia="en-US"/>
        </w:rPr>
      </w:pPr>
      <w:r w:rsidRPr="00F7015D">
        <w:rPr>
          <w:lang w:eastAsia="en-US"/>
        </w:rPr>
        <w:t>Здравните специалисти</w:t>
      </w:r>
      <w:r w:rsidR="00F7015D">
        <w:rPr>
          <w:lang w:val="en-US" w:eastAsia="en-US"/>
        </w:rPr>
        <w:t xml:space="preserve"> </w:t>
      </w:r>
      <w:r w:rsidRPr="00F7015D">
        <w:rPr>
          <w:lang w:eastAsia="en-US"/>
        </w:rPr>
        <w:t xml:space="preserve">и здравните  медиатори  съвместно с експертите от РЗИ Бургас ежегодно изнасят лекции на учениците относно здравословния начин на живот и хранене. Във връзка с превенция на тютюнопушенето  и употребата на алкохолни и наркотични вещества, ежегодно  се провеждат различни информационни кампании, включващи  раздаване на листовки, брошури и прожекция на филми. </w:t>
      </w:r>
      <w:r w:rsidRPr="00F7015D">
        <w:rPr>
          <w:bCs/>
          <w:iCs/>
          <w:lang w:eastAsia="en-US"/>
        </w:rPr>
        <w:t>Във всички видински училища са поставени информационни табла и  обособени кътове със здравно-образователни материали на тема</w:t>
      </w:r>
      <w:r w:rsidRPr="00F7015D">
        <w:rPr>
          <w:lang w:eastAsia="en-US"/>
        </w:rPr>
        <w:t xml:space="preserve"> </w:t>
      </w:r>
      <w:r w:rsidRPr="00F7015D">
        <w:rPr>
          <w:bCs/>
          <w:iCs/>
          <w:lang w:eastAsia="en-US"/>
        </w:rPr>
        <w:t>тютюнопушенето и вредата от него.</w:t>
      </w:r>
      <w:r w:rsidRPr="00F7015D">
        <w:rPr>
          <w:lang w:eastAsia="en-US"/>
        </w:rPr>
        <w:t xml:space="preserve"> Провеждани са здравно-образователни мероприятия и кампании  сред младите хора, насочени към повишаване информираността по въпросите за рисковите фактори за тяхното здраве и профилактиката на социално-значимите хронични неинфекциозни заболявания.</w:t>
      </w:r>
    </w:p>
    <w:p w:rsidR="008F3F12" w:rsidRPr="00F7015D" w:rsidRDefault="008F3F12" w:rsidP="008F3F12">
      <w:pPr>
        <w:ind w:firstLine="720"/>
        <w:jc w:val="both"/>
        <w:rPr>
          <w:lang w:eastAsia="en-US"/>
        </w:rPr>
      </w:pPr>
      <w:r w:rsidRPr="00F7015D">
        <w:rPr>
          <w:lang w:eastAsia="en-US"/>
        </w:rPr>
        <w:t xml:space="preserve">Водещи заболявания сред учениците са затлъстяване, хипертония, бронхиална астма, гръбначните изкривявания, смущения в зрението, диабет. </w:t>
      </w:r>
      <w:r w:rsidRPr="00F7015D">
        <w:rPr>
          <w:shd w:val="clear" w:color="auto" w:fill="FAFAFA"/>
          <w:lang w:eastAsia="en-US"/>
        </w:rPr>
        <w:t>Безспорна е необходимостта от насърчаване на профилактичните прегледи сред младите и реализиране на съответните дейности от страна на отговорните за това институции.</w:t>
      </w:r>
    </w:p>
    <w:p w:rsidR="008F3F12" w:rsidRPr="00F7015D" w:rsidRDefault="008F3F12" w:rsidP="008F3F12">
      <w:pPr>
        <w:pStyle w:val="a7"/>
        <w:shd w:val="clear" w:color="auto" w:fill="FFFFFF"/>
        <w:spacing w:before="0" w:beforeAutospacing="0" w:after="0" w:afterAutospacing="0"/>
        <w:ind w:firstLine="708"/>
        <w:jc w:val="both"/>
      </w:pPr>
      <w:r w:rsidRPr="00F7015D">
        <w:rPr>
          <w:lang w:eastAsia="en-US"/>
        </w:rPr>
        <w:t>В община Сунгурларе има добри възможности за спорт. Изградени са добре функциониращи спортните клубове по футбол, баскетбол, волейбол, борба, лека атлетика,  тенис на маса. Налице са и  обекти за масов спорт -  площадки, футболни игрища.</w:t>
      </w:r>
      <w:r w:rsidRPr="00F7015D">
        <w:rPr>
          <w:rFonts w:ascii="Calibri" w:hAnsi="Calibri"/>
          <w:sz w:val="22"/>
          <w:szCs w:val="22"/>
          <w:lang w:eastAsia="en-US"/>
        </w:rPr>
        <w:t xml:space="preserve"> </w:t>
      </w:r>
      <w:r w:rsidRPr="00F7015D">
        <w:rPr>
          <w:lang w:eastAsia="en-US"/>
        </w:rPr>
        <w:t>Възможност за добра двигателна активност дават танцовите школи и състави към читалищата. Значима част от учениците се включват в ежегодните ученически спортни игри.</w:t>
      </w:r>
      <w:r w:rsidRPr="00F7015D">
        <w:t xml:space="preserve"> Инвестирани се средства в създаване и поддръжка на зони за отдих. Такава една зона е местността Ичмята в гр. Сунгурларе. Обновява се и парковото пространство. Съществуващите площадки се поддържат, в почти всички населени места има създадени нови.</w:t>
      </w:r>
    </w:p>
    <w:p w:rsidR="008F3F12" w:rsidRPr="00F7015D" w:rsidRDefault="008F3F12" w:rsidP="008F3F12">
      <w:pPr>
        <w:ind w:firstLine="708"/>
        <w:jc w:val="both"/>
        <w:rPr>
          <w:lang w:eastAsia="en-US"/>
        </w:rPr>
      </w:pPr>
    </w:p>
    <w:p w:rsidR="008F3F12" w:rsidRPr="00F7015D" w:rsidRDefault="008F3F12" w:rsidP="008F3F12">
      <w:pPr>
        <w:ind w:firstLine="708"/>
        <w:jc w:val="both"/>
        <w:rPr>
          <w:color w:val="FF0000"/>
        </w:rPr>
      </w:pPr>
    </w:p>
    <w:p w:rsidR="008F3F12" w:rsidRPr="00F7015D" w:rsidRDefault="008F3F12" w:rsidP="008F3F12">
      <w:r w:rsidRPr="00F7015D">
        <w:t>3.2. НИВО НА ИНФОРМИРАНОСТ И ПРИДОБИТИ УМЕНИЯ И ЗНАНИЯ ЗА</w:t>
      </w:r>
    </w:p>
    <w:p w:rsidR="008F3F12" w:rsidRPr="00F7015D" w:rsidRDefault="008F3F12" w:rsidP="008F3F12">
      <w:r w:rsidRPr="00F7015D">
        <w:t>ЗДРАВОСЛОВЕН НАЧИН НА ЖИВОТ</w:t>
      </w:r>
    </w:p>
    <w:p w:rsidR="008F3F12" w:rsidRPr="00F7015D" w:rsidRDefault="008F3F12" w:rsidP="008F3F12">
      <w:pPr>
        <w:jc w:val="both"/>
      </w:pPr>
      <w:r w:rsidRPr="00F7015D">
        <w:t>3.2.1 Анализ на състоянието</w:t>
      </w:r>
    </w:p>
    <w:p w:rsidR="008F3F12" w:rsidRPr="00F7015D" w:rsidRDefault="008F3F12" w:rsidP="008F3F12">
      <w:pPr>
        <w:ind w:firstLine="708"/>
        <w:jc w:val="both"/>
      </w:pPr>
      <w:r w:rsidRPr="00F7015D">
        <w:t xml:space="preserve">Здравният статус е свързан с начина на живот и навиците на хората. Безспорно, наднорменото тегло е фактор, който снижава самочувствието и качеството на живот. По-важно е обаче, този проблем да не се оценява субективно като естетически, а да се подходи към него обективно – като към причина за редица здравословни проблеми. Показател за нагласите на младите хора към веществата, които пораждат зависимости, е толерантността към тяхното използване. В национално представителното изследване е обърнато внимание освен на отношението към употребата на алкохол, цигари и психотропни вещества, така и на самата им консумация. Важно е да се отбележи, че борбата с употребата на наркотици трябва да започва от най-ранна възраст и в нея е задължително участието както на семейството, така и на училището. Същевременно, не </w:t>
      </w:r>
      <w:r w:rsidRPr="00F7015D">
        <w:lastRenderedPageBreak/>
        <w:t>трябва да се подценяват и другите зависимости –тютюнопушенето и употребата на алкохол. Предвид деликатността на темата за употребата на наркотични вещества сред младите хора, трябва да се правят внимателно изводи. От една страна, откровеността в споделянето е добър знак, че е възможна и необходима по-нататъшна комуникация. Това е особено важно, предвид съхраняване на високия дял на онези от младите, които се определят като хора, които не са опитвали и не биха опитали наркотици.</w:t>
      </w:r>
    </w:p>
    <w:p w:rsidR="008F3F12" w:rsidRPr="00F7015D" w:rsidRDefault="008F3F12" w:rsidP="008F3F12">
      <w:pPr>
        <w:ind w:firstLine="708"/>
        <w:jc w:val="both"/>
      </w:pPr>
      <w:r w:rsidRPr="00F7015D">
        <w:t>При наличие на възможност за избор на интересни занимания от учениците, включително извънкласни форми и творчески дейности, интересът към наркотиците би имал сериозен съперник за вниманието на подрастващите. Превенция може да се постигне чрез увеличаване на обхвата на програми и проекти за спорт в свободното време, социалния туризъм, спорта за хората с увреждания и децата в риск, ученическия, студентския спорт.</w:t>
      </w:r>
    </w:p>
    <w:p w:rsidR="008F3F12" w:rsidRPr="00F7015D" w:rsidRDefault="008F3F12" w:rsidP="008F3F12">
      <w:r w:rsidRPr="00F7015D">
        <w:t>3.2.3 Предприети мерки</w:t>
      </w:r>
    </w:p>
    <w:p w:rsidR="008F3F12" w:rsidRPr="00F7015D" w:rsidRDefault="008F3F12" w:rsidP="008F3F12">
      <w:pPr>
        <w:ind w:firstLine="708"/>
        <w:jc w:val="both"/>
      </w:pPr>
      <w:r w:rsidRPr="00F7015D">
        <w:t>В мерките по настоящия приоритет III „Насърчаване на здравословния начин на живот” през 2018 г. са обхванати общо 200</w:t>
      </w:r>
      <w:r w:rsidRPr="00F7015D">
        <w:rPr>
          <w:sz w:val="36"/>
          <w:szCs w:val="36"/>
        </w:rPr>
        <w:t xml:space="preserve"> </w:t>
      </w:r>
      <w:r w:rsidRPr="00F7015D">
        <w:t xml:space="preserve">млади хора. Финансирането е осигурено в рамките на общинския бюджет, МКБППМН, БМЧК. С цел превенция на факторите, създаващи риск за здравето на младите хора, от страна на институциите в общината и БЧК Сунгурларе са проведени 5 срещи / Чубра, Лозарево, Вълчин, Черница и Сунгурларе/ и  кръгла маса /Сунгурларе/,беседи в час за здравословния начин на живот,  презентации и беседи за насърчаване и подпомагане на сътрудничеството между младежите от здравните медиатори, здравните специалисти с цел утвърждаване на здравословен начин живот сред младите хора. </w:t>
      </w:r>
    </w:p>
    <w:p w:rsidR="008F3F12" w:rsidRPr="00F7015D" w:rsidRDefault="008F3F12" w:rsidP="008F3F12">
      <w:pPr>
        <w:ind w:firstLine="708"/>
        <w:jc w:val="both"/>
      </w:pPr>
      <w:r w:rsidRPr="00F7015D">
        <w:t>Проведени са 2 информационни тематични здравни кампании. Проведени са кампании по превенция на рисковото поведение сред младежи и рискови групи/ХИВ,СПИН, тютюнопушене, наркотици/, Превенция и контрол на ХИВ и сексуално предавани инфекции (СПИН), информационни кампании Ранното майчинство, кампании, осъществявани от Български младежки червен кръст (БМЧК). През 2018 г. от Регионални здравни инспекции (РЗИ) са организирани и проведени 2 дискусии с участници медицинските сестри и здравните медиатори от Община Сунгурларе, при изпълнение на дейности по Националната програма за превенция на хроничните незаразни болести 2014-</w:t>
      </w:r>
      <w:smartTag w:uri="urn:schemas-microsoft-com:office:smarttags" w:element="metricconverter">
        <w:smartTagPr>
          <w:attr w:name="ProductID" w:val="2020 г"/>
        </w:smartTagPr>
        <w:r w:rsidRPr="00F7015D">
          <w:t>2020 г</w:t>
        </w:r>
      </w:smartTag>
      <w:r w:rsidRPr="00F7015D">
        <w:t>., свързани с превенция на 4-те основни рискови за здравето фактори – тютюнопушене, злоупотреба с алкохол, хранене и физическа активност, Превенция на рак на шийката на матката и Училищна ваксинопрофилактика. По план график медицинските сестри към здравните кабинети в училищата са провели лекции на теми свързани със здравословното хранене,</w:t>
      </w:r>
      <w:r w:rsidR="00F7015D">
        <w:rPr>
          <w:lang w:val="en-US"/>
        </w:rPr>
        <w:t xml:space="preserve"> </w:t>
      </w:r>
      <w:r w:rsidRPr="00F7015D">
        <w:t>болести предавани по полов път,</w:t>
      </w:r>
      <w:r w:rsidR="00F7015D">
        <w:rPr>
          <w:lang w:val="en-US"/>
        </w:rPr>
        <w:t xml:space="preserve"> </w:t>
      </w:r>
      <w:r w:rsidRPr="00F7015D">
        <w:t xml:space="preserve">борба срещу зависимости – цигари ,алкохол, наркотици. </w:t>
      </w:r>
    </w:p>
    <w:p w:rsidR="008F3F12" w:rsidRPr="00F7015D" w:rsidRDefault="008F3F12" w:rsidP="008F3F12">
      <w:pPr>
        <w:ind w:firstLine="708"/>
        <w:jc w:val="both"/>
      </w:pPr>
      <w:r w:rsidRPr="00F7015D">
        <w:t>През 2018 г. са реализирани кампании по повод намаляване на агресията, развиване на социални умения и повишаване на информираността. Изнесени са няколко лекции лекции и беседи от здравните медиатори на теми свързани с агресията, насилието и трафика на хора.</w:t>
      </w:r>
    </w:p>
    <w:p w:rsidR="008F3F12" w:rsidRPr="00F7015D" w:rsidRDefault="008F3F12" w:rsidP="008F3F12">
      <w:pPr>
        <w:ind w:firstLine="708"/>
        <w:jc w:val="both"/>
      </w:pPr>
      <w:r w:rsidRPr="00F7015D">
        <w:t xml:space="preserve"> Лекоатлетическото състезание – „Крос Кънтри” / м. март/ и всички запланувани турнири / в рамките на седмицата, посветена на спорта/, както и Националния шампионат на България /м. октомври/ са проведени, със засилен интерес от учениците в училищата на територията на Община Сунгурларе-  над 500 участници.</w:t>
      </w:r>
      <w:r w:rsidRPr="00F7015D">
        <w:rPr>
          <w:color w:val="FF0000"/>
        </w:rPr>
        <w:t xml:space="preserve"> </w:t>
      </w:r>
      <w:r w:rsidRPr="00F7015D">
        <w:t>На територията на общината има регистрирани 4 клуба, които развиват дейност и имат картотекирани състезатели- клуб по лека атлетика, клуб по борба, клуб по баскетбол и футбол. Клубовете се посещават от общо 80 състезатели. В различни кампании, инициативи, информационни беседи, дискусии и срещи са участвали около 250 млади хора. В мероприятията, насочени към повишаване на сексуалната култура на младите хора, са обхванати общо 30 младежи/Сунгурларе, Грозден и Чубра/.</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 xml:space="preserve">ПРИОРИТЕТ IV: ПРЕВЕНЦИЯ НА СОЦИАЛНОТО ИЗКЛЮЧВАНЕ НА МЛАДИТЕ ХОРА В НЕРАВНОСТОЙНО ПОЛОЖЕНИЕ </w:t>
      </w:r>
    </w:p>
    <w:p w:rsidR="008F3F12" w:rsidRPr="00F7015D" w:rsidRDefault="008F3F12" w:rsidP="008F3F12">
      <w:pPr>
        <w:rPr>
          <w:b/>
          <w:color w:val="FF0000"/>
        </w:rPr>
      </w:pPr>
    </w:p>
    <w:p w:rsidR="008F3F12" w:rsidRPr="00F7015D" w:rsidRDefault="008F3F12" w:rsidP="008F3F12">
      <w:r w:rsidRPr="00F7015D">
        <w:t>4.1 ЦЕЛЕНАСОЧЕНИ МЕРКИ ЗА СОЦИАЛНО ПОДПОМАГАНЕ И</w:t>
      </w:r>
    </w:p>
    <w:p w:rsidR="008F3F12" w:rsidRPr="00F7015D" w:rsidRDefault="008F3F12" w:rsidP="008F3F12">
      <w:r w:rsidRPr="00F7015D">
        <w:t>СОЦИАЛНО ВКЛЮЧВАНЕ НА МЛАДИТЕ ХОРА НА ВЪЗРАСТ ОТ 18 ДО 25</w:t>
      </w:r>
    </w:p>
    <w:p w:rsidR="008F3F12" w:rsidRPr="00F7015D" w:rsidRDefault="008F3F12" w:rsidP="008F3F12">
      <w:r w:rsidRPr="00F7015D">
        <w:t>ГОДИНИ В РИСК</w:t>
      </w:r>
    </w:p>
    <w:p w:rsidR="008F3F12" w:rsidRPr="00F7015D" w:rsidRDefault="008F3F12" w:rsidP="008F3F12">
      <w:pPr>
        <w:jc w:val="both"/>
      </w:pPr>
      <w:r w:rsidRPr="00F7015D">
        <w:t>4.1.1 Състояние на индикатора Перспективите за развитие пред младите хора зависят изключително много от тяхната социално-икономическа среда и редица други фактори. С оглед на социалното положение, в което се намират, част от младежките групи са изложени на риск от социално изключване и бедност повече от други, като сред основните рискови групи са:</w:t>
      </w:r>
    </w:p>
    <w:p w:rsidR="008F3F12" w:rsidRPr="00F7015D" w:rsidRDefault="008F3F12" w:rsidP="008F3F12">
      <w:r w:rsidRPr="00F7015D">
        <w:t>- Деца и младежи, настанени в специализирани институции, в социални услуги в общността от резидентен тип, в приемни семейства и при близки и роднини;</w:t>
      </w:r>
    </w:p>
    <w:p w:rsidR="008F3F12" w:rsidRPr="00F7015D" w:rsidRDefault="008F3F12" w:rsidP="008F3F12">
      <w:r w:rsidRPr="00F7015D">
        <w:t>- Деца и младежи, които напускат специализираните институции за деца.</w:t>
      </w:r>
    </w:p>
    <w:p w:rsidR="008F3F12" w:rsidRPr="00F7015D" w:rsidRDefault="008F3F12" w:rsidP="008F3F12">
      <w:pPr>
        <w:jc w:val="both"/>
      </w:pPr>
      <w:r w:rsidRPr="00F7015D">
        <w:t>Социалните услуги в общността са сред основните инструменти, чрез които се насърчава социалното включване на уязвимите групи. Характерен белег на социалните услуги е, че се основават на социална работа и са насочени към подкрепа за осъществяване на ежедневни дейности и социално включване. Те се предоставят съобразно желанието и личния избор на лицата, в т.ч. млади хора на възраст от 18 до 25 години в риск.</w:t>
      </w:r>
    </w:p>
    <w:p w:rsidR="008F3F12" w:rsidRPr="00F7015D" w:rsidRDefault="008F3F12" w:rsidP="008F3F12">
      <w:r w:rsidRPr="00F7015D">
        <w:t>4.1.2 Предприети мерки</w:t>
      </w:r>
    </w:p>
    <w:p w:rsidR="008F3F12" w:rsidRPr="00F7015D" w:rsidRDefault="008F3F12" w:rsidP="008F3F12">
      <w:pPr>
        <w:ind w:firstLine="708"/>
        <w:jc w:val="both"/>
      </w:pPr>
      <w:r w:rsidRPr="00F7015D">
        <w:t>В рамките на политиката в областта на социалното включване се изпълняват редица програми и мерки, насочени към подобряване качеството на живот на най- уязвимите групи в обществото, в т.ч. деца и младежи. Младежите в уязвимо положение в много по-голяма степен се нуждаят от подкрепа, свързана както с прехода им към  самостоятелен живот, така и с предоставянето на възможности за реализация и пълноценно участие в обществото. Предоставянето на достъпни, качествени и устойчиви социални услуги е друг важен елемент на политиката за подкрепа на уязвимите групи. Системата за социални услуги се разшири значително през последните няколко години. Това се дължи на реформите, насочени към подобряване на планирането, деинституционализацията и предоставянето на повече услуги, базирани в общността и в семейна среда. Всяка от социалните услуги в общността се предоставя за няколко целеви групи, съобразно спецификата на предоставяните в услугата дейности. Услугите, които обхващат лица и младежи, са насочени и към осигуряване на достъп до образование, професионална квалификация и намиране на първа работа, които имат ключова роля за житейската реализация и личностното им развитие.</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 xml:space="preserve">ПРИОРИТЕТ V: РАЗВИТИЕ НА МЛАДЕЖКО ДОБРОВОЛЧЕСТВО </w:t>
      </w:r>
    </w:p>
    <w:p w:rsidR="008F3F12" w:rsidRPr="00F7015D" w:rsidRDefault="008F3F12" w:rsidP="008F3F12">
      <w:pPr>
        <w:rPr>
          <w:b/>
          <w:color w:val="FF0000"/>
        </w:rPr>
      </w:pPr>
    </w:p>
    <w:p w:rsidR="008F3F12" w:rsidRPr="00F7015D" w:rsidRDefault="008F3F12" w:rsidP="008F3F12">
      <w:r w:rsidRPr="00F7015D">
        <w:rPr>
          <w:color w:val="FF0000"/>
        </w:rPr>
        <w:t xml:space="preserve"> </w:t>
      </w:r>
      <w:r w:rsidRPr="00F7015D">
        <w:t>УВЕЛИЧАВАНЕ НА БРОЯ НА ДОБРОВОЛЦИТЕ В ОБЩИНА СУНГУРЛАРЕ</w:t>
      </w:r>
    </w:p>
    <w:p w:rsidR="008F3F12" w:rsidRPr="00F7015D" w:rsidRDefault="008F3F12" w:rsidP="008F3F12">
      <w:r w:rsidRPr="00F7015D">
        <w:t>5.2.1 Състояние на изследвания индикатор</w:t>
      </w:r>
    </w:p>
    <w:p w:rsidR="008F3F12" w:rsidRPr="00F7015D" w:rsidRDefault="008F3F12" w:rsidP="008F3F12">
      <w:pPr>
        <w:ind w:firstLine="708"/>
        <w:jc w:val="both"/>
      </w:pPr>
      <w:r w:rsidRPr="00F7015D">
        <w:t>Имайки предвид значението на доброволчеството във всички сфери на обществения живот, трябва да го идентифицира  като значим фактор за развитието на младите хора в общината, социалното включване, активно гражданство и развитие на обществото в по-широк смисъл. Заради това доброволческата дейност трябва да се разглежда като жизненоважно измерение на социалния и демократичен живот, а не само да се оценяват услугите, които тя предоставя или дейностите, които улеснява.</w:t>
      </w:r>
    </w:p>
    <w:p w:rsidR="008F3F12" w:rsidRPr="00F7015D" w:rsidRDefault="008F3F12" w:rsidP="008F3F12">
      <w:pPr>
        <w:jc w:val="both"/>
      </w:pPr>
      <w:r w:rsidRPr="00F7015D">
        <w:t xml:space="preserve">Въпреки широкия аспект на доброволчеството , следвайки основните принципи, можем да обобщим, че  като доброволчески дейности се определят тези, които покриват следните условия:  </w:t>
      </w:r>
    </w:p>
    <w:p w:rsidR="008F3F12" w:rsidRPr="00F7015D" w:rsidRDefault="008F3F12" w:rsidP="008F3F12">
      <w:pPr>
        <w:ind w:firstLine="708"/>
        <w:jc w:val="both"/>
      </w:pPr>
      <w:r w:rsidRPr="00F7015D">
        <w:lastRenderedPageBreak/>
        <w:t>-Извършени от някого на принципа на свободната и лична воля и включват ангажимент на време и ресурс в полза на другиго или на обществото като цяло;</w:t>
      </w:r>
    </w:p>
    <w:p w:rsidR="008F3F12" w:rsidRPr="00F7015D" w:rsidRDefault="008F3F12" w:rsidP="008F3F12">
      <w:pPr>
        <w:ind w:firstLine="708"/>
        <w:jc w:val="both"/>
      </w:pPr>
      <w:r w:rsidRPr="00F7015D">
        <w:t xml:space="preserve">- Не се извършват от лице срещу възнаграждение, но може да включват възстановяване на разходи, директно свързани с дейността;  </w:t>
      </w:r>
    </w:p>
    <w:p w:rsidR="008F3F12" w:rsidRPr="00F7015D" w:rsidRDefault="008F3F12" w:rsidP="008F3F12">
      <w:pPr>
        <w:ind w:firstLine="708"/>
        <w:jc w:val="both"/>
      </w:pPr>
      <w:r w:rsidRPr="00F7015D">
        <w:t>- Инициативата е с некомерсиална цел и в повечето случаи се предприема от неправителствени/ нестопански организации, затова и не е обвързана с печалба;</w:t>
      </w:r>
    </w:p>
    <w:p w:rsidR="008F3F12" w:rsidRPr="00F7015D" w:rsidRDefault="008F3F12" w:rsidP="008F3F12">
      <w:pPr>
        <w:ind w:firstLine="708"/>
        <w:jc w:val="both"/>
      </w:pPr>
      <w:r w:rsidRPr="00F7015D">
        <w:t xml:space="preserve">Според разпространените нагласи за младите хора доброволчеството е непопулярно, а доброволческите дейности са трудно измерими от гледна точка на участие и ефект. Предпоставките за това са липсата на ясна дефиниция за доброволчеството, липсата на информация за неговото влияние, липса на стимули в образователната система и семейството за развитието на доброволчески дейности. Липсата на диалог между поколенията и в семейството допринасят за липсата на стимули за развитие на доброволчески начин на мислене сред младите хора. Развитието на консуматорски начин на живот сред младежите е сред основните негативни фактори върху слабото изграждане на положителен имидж на доброволчеството. То следва да бъде стимулирано, като се изведе на преден план неговото положително влияние върху развитието на специфични умения и компетенции, базирани, както на личен, така и на обществен характер. </w:t>
      </w:r>
    </w:p>
    <w:p w:rsidR="008F3F12" w:rsidRPr="00F7015D" w:rsidRDefault="008F3F12" w:rsidP="008F3F12">
      <w:pPr>
        <w:ind w:firstLine="708"/>
        <w:jc w:val="both"/>
        <w:rPr>
          <w:color w:val="FF0000"/>
        </w:rPr>
      </w:pPr>
      <w:r w:rsidRPr="00F7015D">
        <w:t xml:space="preserve">   </w:t>
      </w:r>
    </w:p>
    <w:p w:rsidR="008F3F12" w:rsidRPr="00F7015D" w:rsidRDefault="008F3F12" w:rsidP="008F3F12">
      <w:r w:rsidRPr="00F7015D">
        <w:t>5.2.2 Анализ на състоянието</w:t>
      </w:r>
    </w:p>
    <w:p w:rsidR="008F3F12" w:rsidRPr="00F7015D" w:rsidRDefault="008F3F12" w:rsidP="008F3F12">
      <w:pPr>
        <w:ind w:firstLine="708"/>
        <w:jc w:val="both"/>
      </w:pPr>
      <w:r w:rsidRPr="00F7015D">
        <w:t xml:space="preserve">Върху  желанието за включване в доброволчески акции, организирани от НПО, влияе и имиджът на неправителствения сектор сред младите хора, който е относително негативен. Това също може да се разглежда като предпоставка за нежеланиe за включване в доброволчески акции. Необходимо е от една страна по-голяма активност на НПО за включване на младежите в тяхната дейност, а от друга - за предоставяне на информация за резултатите и ефекта от работата на третия сектор като важна част от развитието на гражданското общество. От друга страна е препоръчително да се работи както с младежите, така и с работодателите за разясняване на предимствата и ползите от неформалното образование, получено от участието в доброволчески инициативи. Училището също трябва да се включи като основен партньор при мотивирането и популяризирането на доброволчеството сред младежите. </w:t>
      </w:r>
    </w:p>
    <w:p w:rsidR="008F3F12" w:rsidRPr="00F7015D" w:rsidRDefault="008F3F12" w:rsidP="008F3F12">
      <w:pPr>
        <w:ind w:firstLine="708"/>
        <w:jc w:val="both"/>
      </w:pPr>
      <w:r w:rsidRPr="00F7015D">
        <w:t>С оглед постигането на максимална ефективност в процеса на създаване на положителен имидж е необходимо провеждането на дейности, които да провокират интереса на младите хора. Сред тях са: флашмоб, работилници, доброволчество в спорта, културата и алтернативните изкуства, песни и средства за визуална идентификация на доброволчеството като начин на живот, въвличането на популярни лица в създаването на положителен имидж, доброволчески реалити програми (където ползите за личността и обществото са видими), промоционални материали, провокиращи интерес сред младите хора, видео игри и други.</w:t>
      </w:r>
    </w:p>
    <w:p w:rsidR="008F3F12" w:rsidRPr="00F7015D" w:rsidRDefault="008F3F12" w:rsidP="008F3F12">
      <w:pPr>
        <w:jc w:val="both"/>
      </w:pPr>
      <w:r w:rsidRPr="00F7015D">
        <w:t>5.2.3. Предприети мерки</w:t>
      </w:r>
    </w:p>
    <w:p w:rsidR="008F3F12" w:rsidRPr="00F7015D" w:rsidRDefault="008F3F12" w:rsidP="008F3F12">
      <w:pPr>
        <w:ind w:firstLine="708"/>
        <w:jc w:val="both"/>
      </w:pPr>
      <w:r w:rsidRPr="00F7015D">
        <w:t>В рамките на годината, в дейности по различни програми, проекти и инициативи на държавните институции в страната, общините и неправителствени организации, са обхванати общо 40 млади доброволци. В инициативи, организирани на общинско ниво, са взели участие 20 младежи. Организирани са няколко акции и инициативи за популяризиране на доброволчеството- работилница за мартеници, „Да почистим България за един ден”, „Имай сърце- бъди доброволец”,  проведена е кръгла маса на тема „Бъди доброволец”. С цел популяризиране на доброволчеството са раздадени флаери и  брошури. От БМЧК –Сунгурларе се проведоха няколко акции за подпомагане на деца в неравностойно положение, събиране на помощ за пострадало семейство от пожар в с. Лозарево, топли дрехи за деца от дома в гр. Карнобат.</w:t>
      </w:r>
    </w:p>
    <w:p w:rsidR="008F3F12" w:rsidRPr="00F7015D" w:rsidRDefault="008F3F12" w:rsidP="008F3F12">
      <w:pPr>
        <w:ind w:firstLine="708"/>
        <w:jc w:val="both"/>
      </w:pPr>
      <w:r w:rsidRPr="00F7015D">
        <w:lastRenderedPageBreak/>
        <w:t xml:space="preserve"> Макар готовността на младите хора да участват в доброволчески акции да нараства, все още са ограничени възможностите за доброволчески дейности. Ценността на доброволчеството все още не се познава широко от младите хора. Неразвити са механизмите за публичното подпомагане на младежкото доброволчество като важна проява на солидарност и гражданска активност и форма за неформално учене. Доброволците на БМЧК преминават различни неформални обучения, за което получават съответни сертификати. Сертификатите им дават право да бъдат презентатори по съответните теми пред свои връстници. БМЧК Сунгурларе има сертифицирани доброволци по първа долекарска помощ,  превенция на ХИВ/СПИН и сексуално предавани инфекции.</w:t>
      </w:r>
    </w:p>
    <w:p w:rsidR="008F3F12" w:rsidRPr="00F7015D" w:rsidRDefault="008F3F12" w:rsidP="008F3F12">
      <w:pPr>
        <w:rPr>
          <w:color w:val="FF0000"/>
        </w:rPr>
      </w:pPr>
    </w:p>
    <w:p w:rsidR="008F3F12" w:rsidRPr="00F7015D" w:rsidRDefault="008F3F12" w:rsidP="008F3F12">
      <w:pPr>
        <w:jc w:val="both"/>
      </w:pPr>
      <w:r w:rsidRPr="00F7015D">
        <w:t>6.1. УЧАСТИЕ НА МЛАДИТЕ ХОРА ПРИ РЕШАВАНЕ НА МЛАДЕЖКИТЕ ПРОБЛЕМИ</w:t>
      </w:r>
    </w:p>
    <w:p w:rsidR="008F3F12" w:rsidRPr="00F7015D" w:rsidRDefault="008F3F12" w:rsidP="008F3F12">
      <w:pPr>
        <w:jc w:val="both"/>
      </w:pPr>
      <w:r w:rsidRPr="00F7015D">
        <w:t>6.1.1 Състояние на изследвания индикатор</w:t>
      </w:r>
    </w:p>
    <w:p w:rsidR="008F3F12" w:rsidRPr="00F7015D" w:rsidRDefault="008F3F12" w:rsidP="008F3F12">
      <w:pPr>
        <w:ind w:firstLine="708"/>
        <w:jc w:val="both"/>
      </w:pPr>
      <w:r w:rsidRPr="00F7015D">
        <w:t>Участието на младите хора в демократичния живот и участието им в процеса на взимане на решения по проблеми и въпроси, важни за тяхното бъдеще, се измерва с членството им в различни младежки организации, включването им в кампании, инициативи и консултативни органи към местни, регионални и национални органи на управление.</w:t>
      </w:r>
    </w:p>
    <w:p w:rsidR="008F3F12" w:rsidRPr="00F7015D" w:rsidRDefault="008F3F12" w:rsidP="008F3F12">
      <w:pPr>
        <w:jc w:val="both"/>
      </w:pPr>
      <w:r w:rsidRPr="00F7015D">
        <w:t>6.1.2 Анализ на състоянието</w:t>
      </w:r>
    </w:p>
    <w:p w:rsidR="008F3F12" w:rsidRPr="00F7015D" w:rsidRDefault="008F3F12" w:rsidP="008F3F12">
      <w:pPr>
        <w:ind w:firstLine="708"/>
        <w:jc w:val="both"/>
      </w:pPr>
      <w:r w:rsidRPr="00F7015D">
        <w:t xml:space="preserve">Участието на младите хора в акции, кампании, инициативи и проекти е една от най-популярните форми на гражданска активност на младежите в България. На територията на община Сунгурларе действат две организации, занимаващи се с младежка дейност І БМЧК и ученически съвет, който е структура към СУ „Христо Ботев“ гр. Сунгурларе </w:t>
      </w:r>
    </w:p>
    <w:p w:rsidR="008F3F12" w:rsidRPr="00F7015D" w:rsidRDefault="008F3F12" w:rsidP="008F3F12">
      <w:r w:rsidRPr="00F7015D">
        <w:t>6.1.3 Предприети мерки</w:t>
      </w:r>
    </w:p>
    <w:p w:rsidR="008F3F12" w:rsidRPr="00F7015D" w:rsidRDefault="008F3F12" w:rsidP="008F3F12">
      <w:pPr>
        <w:ind w:firstLine="708"/>
        <w:jc w:val="both"/>
      </w:pPr>
      <w:r w:rsidRPr="00F7015D">
        <w:t>През 2018 г. са проведени  срещи и дискусии по теми, свързани със защита правата на човека, особено по въпросите на правата на детето, дискриминацията, равнопоставеността между половете, в които участие са взеха 40 младежи от учениците в ОУ „Христо Ботев“ с. Лозарево. Проведена е кампания „Световна седмица на предприемачеството” в СУ „Христо Ботев Сунгурларе.</w:t>
      </w:r>
    </w:p>
    <w:p w:rsidR="008F3F12" w:rsidRPr="00F7015D" w:rsidRDefault="008F3F12" w:rsidP="008F3F12">
      <w:pPr>
        <w:ind w:firstLine="708"/>
        <w:jc w:val="both"/>
      </w:pPr>
      <w:r w:rsidRPr="00F7015D">
        <w:t>Община Сунгурларе  полага усилия да ангажират все повече млади хора в обществения живот на населеното място. Най-често използваните форми за включване на младите хора в местното самоуправление са организиране на работни срещи -дискусии, кръгли маси и  срещи-разговори. Проведе се и Ден  на отворените врати на общинската администрация „Мениджър за един ден”</w:t>
      </w:r>
    </w:p>
    <w:p w:rsidR="008F3F12" w:rsidRPr="00F7015D" w:rsidRDefault="008F3F12" w:rsidP="008F3F12">
      <w:pPr>
        <w:ind w:firstLine="708"/>
        <w:jc w:val="both"/>
      </w:pPr>
      <w:r w:rsidRPr="00F7015D">
        <w:t>За развиване на младежки дейности се организираха съвместни тържества, празници, съвместни дейности с НПО и спортни клубове, клубове за дебати по младежки въпроси,</w:t>
      </w:r>
    </w:p>
    <w:p w:rsidR="008F3F12" w:rsidRPr="00F7015D" w:rsidRDefault="008F3F12" w:rsidP="008F3F12">
      <w:pPr>
        <w:ind w:firstLine="708"/>
        <w:jc w:val="both"/>
        <w:rPr>
          <w:color w:val="FF0000"/>
        </w:rPr>
      </w:pPr>
    </w:p>
    <w:p w:rsidR="008F3F12" w:rsidRPr="00F7015D" w:rsidRDefault="008F3F12" w:rsidP="008F3F12">
      <w:pPr>
        <w:rPr>
          <w:b/>
        </w:rPr>
      </w:pPr>
      <w:r w:rsidRPr="00F7015D">
        <w:rPr>
          <w:b/>
        </w:rPr>
        <w:t>ПРИОРИТЕТ VII: РАЗВИТИЕ НА МЛАДИТЕ ХОРА В МАЛКИТЕ НАСЕЛЕНИ МЕСТА И СЕЛСКИТЕ РАЙОНИ</w:t>
      </w:r>
    </w:p>
    <w:p w:rsidR="008F3F12" w:rsidRPr="00F7015D" w:rsidRDefault="008F3F12" w:rsidP="008F3F12">
      <w:r w:rsidRPr="00F7015D">
        <w:t>7.1 ПРОФЕСИОНАЛНА И СОЦИАЛНА РЕАЛИЗАЦИЯ НА МЛАДИТЕ ХОРА В МАЛКИТЕ НАСЕЛЕНИ МЕСТА И СЕЛСКИТЕ РАЙОНИ</w:t>
      </w:r>
    </w:p>
    <w:p w:rsidR="008F3F12" w:rsidRPr="00F7015D" w:rsidRDefault="008F3F12" w:rsidP="008F3F12">
      <w:r w:rsidRPr="00F7015D">
        <w:t>7.1.1. Състояние на изследвания индикатор</w:t>
      </w:r>
    </w:p>
    <w:p w:rsidR="008F3F12" w:rsidRPr="00F7015D" w:rsidRDefault="008F3F12" w:rsidP="008F3F12">
      <w:pPr>
        <w:ind w:firstLine="708"/>
        <w:jc w:val="both"/>
      </w:pPr>
      <w:r w:rsidRPr="00F7015D">
        <w:t xml:space="preserve">Световната и икономическа криза оказва негативно влияние върху професионалната  реализация на младите хора в страната и в частност в общината. Тенденцията при младите хора, живеещи на село, показателите за икономическа активност, заетост и безработица да са по-лоши от тези, живеещи в града, се запазва, както и влошаващата се структура на населението в селските райони.  възможностите за </w:t>
      </w:r>
      <w:r w:rsidRPr="00F7015D">
        <w:lastRenderedPageBreak/>
        <w:t>професионална и личностна реализация в тези райони са по-ограничени, нивото на безработица е по-високо и средната продължителност на безработицата също е по-висока.</w:t>
      </w:r>
    </w:p>
    <w:p w:rsidR="008F3F12" w:rsidRPr="00F7015D" w:rsidRDefault="008F3F12" w:rsidP="008F3F12">
      <w:pPr>
        <w:ind w:firstLine="708"/>
        <w:jc w:val="both"/>
      </w:pPr>
      <w:r w:rsidRPr="00F7015D">
        <w:t xml:space="preserve">Ниското ниво на регистрации може да се обясни с високата продължителност на безработицата и свързаната с нея загуба на правото да получават обезщетения за безработица. От друга страна, една трета от безработните младежи никога не са работили и не могат да получават обезщетения за безработица, което ги демотивира да се регистрират в бюрата по труда. Несъответствието между полученото образование и работата е по-високо в тези райони в сравнение със страната. Повечето от заетите младежи упражняват по-нискоквалифициран труд. </w:t>
      </w:r>
    </w:p>
    <w:p w:rsidR="008F3F12" w:rsidRPr="00F7015D" w:rsidRDefault="008F3F12" w:rsidP="008F3F12">
      <w:pPr>
        <w:jc w:val="both"/>
      </w:pPr>
      <w:r w:rsidRPr="00F7015D">
        <w:t>7.1.2 Анализ на състоянието</w:t>
      </w:r>
    </w:p>
    <w:p w:rsidR="008F3F12" w:rsidRPr="00F7015D" w:rsidRDefault="008F3F12" w:rsidP="008F3F12">
      <w:pPr>
        <w:ind w:firstLine="708"/>
        <w:jc w:val="both"/>
        <w:rPr>
          <w:color w:val="FF0000"/>
        </w:rPr>
      </w:pPr>
      <w:r w:rsidRPr="00F7015D">
        <w:t>По данни на областните администрации, положението на младите хора в малките населени места и селските райони не е добро. С пълна сила това важи и за Община Сунгурларе.  Намаляват привлекателните възможности за икономическа активност и професионална реализация на младежката общност.  Пазарът на труда е свит, младежката безработица е висока и липсват възможности за развитие на малък бизнес. Има слабо развита икономика и почти никаква промишленост. Частните земеделски производители се самонаемат, работят на семеен принцип и почти не наемат външни лица. Професионалната реализация на младите хора се осъществява в земеделието и животновъдството. Много малка част от тях, които са придобили дадено образование, могат да се реализират</w:t>
      </w:r>
      <w:r w:rsidRPr="00F7015D">
        <w:rPr>
          <w:color w:val="FF0000"/>
        </w:rPr>
        <w:t>.</w:t>
      </w:r>
    </w:p>
    <w:p w:rsidR="008F3F12" w:rsidRPr="00F7015D" w:rsidRDefault="008F3F12" w:rsidP="008F3F12">
      <w:r w:rsidRPr="00F7015D">
        <w:t>7.1.3. Предприети мерки</w:t>
      </w:r>
    </w:p>
    <w:p w:rsidR="008F3F12" w:rsidRPr="00F7015D" w:rsidRDefault="008F3F12" w:rsidP="008F3F12">
      <w:pPr>
        <w:ind w:firstLine="708"/>
        <w:jc w:val="both"/>
      </w:pPr>
      <w:r w:rsidRPr="00F7015D">
        <w:t xml:space="preserve">Културното и духовно израстване в нашия район се подпомага от читалищата и действащите към тях библиотеки. Читалищата се превръщат в средища на информация, неформално обучение, културно изразяване и гражданско участие. Те съхраняват традициите и културата в тези райони. Чрез тях младежите получават достъп до програми и проектни предложения, касаещи младежките проблеми и начините за решаването им. Те са институциите, които организират младежки увеселения, привличат млади самодейци и опазват местния автентичен фолклор. Към декември 2018 г няма регистриран в нито едно населено място младежки клуб. </w:t>
      </w:r>
    </w:p>
    <w:p w:rsidR="008F3F12" w:rsidRPr="00F7015D" w:rsidRDefault="008F3F12" w:rsidP="008F3F12">
      <w:pPr>
        <w:ind w:firstLine="708"/>
        <w:jc w:val="both"/>
        <w:rPr>
          <w:color w:val="FF0000"/>
        </w:rPr>
      </w:pPr>
    </w:p>
    <w:p w:rsidR="008F3F12" w:rsidRPr="00F7015D" w:rsidRDefault="008F3F12" w:rsidP="008F3F12">
      <w:pPr>
        <w:ind w:firstLine="708"/>
        <w:jc w:val="both"/>
        <w:rPr>
          <w:b/>
        </w:rPr>
      </w:pPr>
      <w:r w:rsidRPr="00F7015D">
        <w:rPr>
          <w:b/>
        </w:rPr>
        <w:t>ПРИОРИТЕТ VIII: РАЗВИТИЕ НА МЕЖДУКУЛТУРНИЯ И МЕЖДУНАРОДНИЯ ДИАЛОГ</w:t>
      </w:r>
    </w:p>
    <w:p w:rsidR="008F3F12" w:rsidRPr="00F7015D" w:rsidRDefault="008F3F12" w:rsidP="008F3F12">
      <w:pPr>
        <w:ind w:firstLine="708"/>
      </w:pPr>
      <w:r w:rsidRPr="00F7015D">
        <w:t>Във време на нарастваща глобализация, именно свободното движение на младите хора e важен фактор за тяхното развитие.</w:t>
      </w:r>
    </w:p>
    <w:p w:rsidR="008F3F12" w:rsidRPr="00F7015D" w:rsidRDefault="008F3F12" w:rsidP="008F3F12">
      <w:r w:rsidRPr="00F7015D">
        <w:t>8.1 АКТИВНОСТ И УЧАСТИЕ НА МЛАДИТЕ ХОРА В МЕЖДУНАРОДНИТЕ ОБРАЗОВАТЕЛНИ ПРОГРАМИ</w:t>
      </w:r>
    </w:p>
    <w:p w:rsidR="008F3F12" w:rsidRPr="00F7015D" w:rsidRDefault="008F3F12" w:rsidP="008F3F12">
      <w:r w:rsidRPr="00F7015D">
        <w:t>8.1.1 Състояние на индикатора</w:t>
      </w:r>
    </w:p>
    <w:p w:rsidR="008F3F12" w:rsidRPr="00F7015D" w:rsidRDefault="008F3F12" w:rsidP="008F3F12">
      <w:pPr>
        <w:ind w:firstLine="708"/>
        <w:jc w:val="both"/>
      </w:pPr>
      <w:r w:rsidRPr="00F7015D">
        <w:t>Създаването на условия за насърчаване на междукултурния диалог, международната образователна мобилност и активност на младите хора в Община Сунгурларе  е изключително важно за развитието на способностите за общуване, приобщаване, повишаване на нивото на образование, развитие на ключови личностни и професионални компетенции, с цел кариерно развитие и добра реализация на пазара на труда.</w:t>
      </w:r>
    </w:p>
    <w:p w:rsidR="008F3F12" w:rsidRPr="00F7015D" w:rsidRDefault="008F3F12" w:rsidP="008F3F12">
      <w:pPr>
        <w:ind w:firstLine="708"/>
        <w:jc w:val="both"/>
      </w:pPr>
      <w:r w:rsidRPr="00F7015D">
        <w:t xml:space="preserve">Етническото многообразие и културното наследство са важен фактор за развитието на мултикултурния диалог и съвместното съжителство в дух на толерантност и сътрудничество. През изминалата година са реализирани редица проектни предложения за развитие на междукултурния диалог сред различните етноси в общината и ограничаване на етническото напрежение сред младите хора. Чрез тях се развиват положителни нагласи у младите хора, като се обръща повече внимание на защитата и </w:t>
      </w:r>
      <w:r w:rsidRPr="00F7015D">
        <w:lastRenderedPageBreak/>
        <w:t>промоцията на правата на човека. Именно възпитаването на толерантност към различното е полезно поради факта, че се намалява агресията, възпитава се работата в екип и се развива междукултурния опит. Според изследването, сред младите хора в страната се наблюдава разнородно отношение към представители от различен етнос.</w:t>
      </w:r>
    </w:p>
    <w:p w:rsidR="008F3F12" w:rsidRPr="00F7015D" w:rsidRDefault="008F3F12" w:rsidP="008F3F12">
      <w:r w:rsidRPr="00F7015D">
        <w:t>8.1.2 Предприети мерки</w:t>
      </w:r>
    </w:p>
    <w:p w:rsidR="008F3F12" w:rsidRPr="00F7015D" w:rsidRDefault="008F3F12" w:rsidP="008F3F12">
      <w:pPr>
        <w:ind w:firstLine="708"/>
        <w:jc w:val="both"/>
      </w:pPr>
      <w:r w:rsidRPr="00F7015D">
        <w:t>Наблюдава се подобряване на качеството на съвместната работа, взаимодействие и партньорство между неправителствени организации и държавни институции по въпросите за младежта и подобряване на процесите, свързани с насърчаване на междукултурния и международен диалог. През изминалата 2018г в Община Сунгурларе се проведоха увеселения, празници  на селото /в 40% от населените маста/.През изминалата година в общината усилено се работи  за създаване на благоприятна среда за насърчаване чрез който се осъществяват р</w:t>
      </w:r>
      <w:r w:rsidR="00F7015D">
        <w:t>азмяна на мнен</w:t>
      </w:r>
      <w:r w:rsidRPr="00F7015D">
        <w:t xml:space="preserve">ия между лица или групи с различни етнически, културен, религиозен и езиков произход и наследство въз основа на взаимно разбиране и уважение. За мнозина обаче, мултикултурната среда продължава да бъде неблагоприятен фактор а не естествен ресурс за социалното и познавателно развитие на подрастващите.   </w:t>
      </w:r>
    </w:p>
    <w:p w:rsidR="008F3F12" w:rsidRPr="00F7015D" w:rsidRDefault="008F3F12" w:rsidP="008F3F12">
      <w:pPr>
        <w:ind w:firstLine="708"/>
        <w:jc w:val="both"/>
      </w:pPr>
    </w:p>
    <w:p w:rsidR="008F3F12" w:rsidRPr="00F7015D" w:rsidRDefault="008F3F12" w:rsidP="008F3F12">
      <w:pPr>
        <w:rPr>
          <w:b/>
        </w:rPr>
      </w:pPr>
      <w:r w:rsidRPr="00F7015D">
        <w:rPr>
          <w:b/>
        </w:rPr>
        <w:t>ПРИОРИТЕТ IX: ПОВИШАВАНЕ РОЛЯТА НА МЛАДИТЕ ХОРА В ПРЕВЕНЦИЯТА НА ПРЕСТЪПНОСТТА</w:t>
      </w:r>
    </w:p>
    <w:p w:rsidR="008F3F12" w:rsidRPr="00F7015D" w:rsidRDefault="008F3F12" w:rsidP="008F3F12">
      <w:pPr>
        <w:rPr>
          <w:b/>
          <w:color w:val="FF0000"/>
        </w:rPr>
      </w:pPr>
    </w:p>
    <w:p w:rsidR="008F3F12" w:rsidRPr="00F7015D" w:rsidRDefault="008F3F12" w:rsidP="008F3F12">
      <w:r w:rsidRPr="00F7015D">
        <w:t>9.1 ПРАВОНАРУШЕНИЯ, ИЗВЪРШЕНИ ОТ МЛАДИ ХОРА</w:t>
      </w:r>
    </w:p>
    <w:p w:rsidR="008F3F12" w:rsidRPr="00F7015D" w:rsidRDefault="008F3F12" w:rsidP="008F3F12">
      <w:r w:rsidRPr="00F7015D">
        <w:t>9.1.1 Състояние на изследвания индикатор</w:t>
      </w:r>
    </w:p>
    <w:p w:rsidR="008F3F12" w:rsidRPr="00F7015D" w:rsidRDefault="008F3F12" w:rsidP="008F3F12">
      <w:pPr>
        <w:jc w:val="both"/>
        <w:rPr>
          <w:spacing w:val="20"/>
        </w:rPr>
      </w:pPr>
      <w:r w:rsidRPr="00F7015D">
        <w:t>9.1.2 Анализ на състоянието</w:t>
      </w:r>
      <w:r w:rsidRPr="00F7015D">
        <w:rPr>
          <w:spacing w:val="20"/>
        </w:rPr>
        <w:t xml:space="preserve"> </w:t>
      </w:r>
    </w:p>
    <w:p w:rsidR="008F3F12" w:rsidRPr="00F7015D" w:rsidRDefault="008F3F12" w:rsidP="008F3F12">
      <w:pPr>
        <w:ind w:firstLine="708"/>
        <w:jc w:val="both"/>
      </w:pPr>
      <w:r w:rsidRPr="00F7015D">
        <w:t>Открояват се  няколко основни аспекти, влияещи върху поведението и развитието на децата и младите хора. Те представляват конкретно обстоятелство или съвкупност от обстоятелства, които повишават вероятността едно дете да развие отрицателно отклонение в поведението, т. нар. рискови фактори.</w:t>
      </w:r>
    </w:p>
    <w:p w:rsidR="008F3F12" w:rsidRPr="00F7015D" w:rsidRDefault="008F3F12" w:rsidP="008F3F12">
      <w:pPr>
        <w:ind w:firstLine="720"/>
        <w:jc w:val="both"/>
      </w:pPr>
      <w:r w:rsidRPr="00F7015D">
        <w:t>Традиционно рисковите фактори се делят на външни условия и вътрешни причини. Към първите спадат основните характеристики и процеси в обществото (макросреда), които имат отношение към потребностите на детето и мотивите за неговото поведение, както и най–близката заобикаляща среда (микросреда): семейството, училището, приятелския кръг. Вътрешните причини са биологични и психологични характеристики на индивида, които са сравнително независими от външните условия (пол, възраст, личност) и провокират или улесняват отрицателното поведение.</w:t>
      </w:r>
    </w:p>
    <w:p w:rsidR="008F3F12" w:rsidRPr="00F7015D" w:rsidRDefault="008F3F12" w:rsidP="008F3F12">
      <w:pPr>
        <w:ind w:firstLine="720"/>
        <w:jc w:val="both"/>
        <w:rPr>
          <w:spacing w:val="20"/>
        </w:rPr>
      </w:pPr>
      <w:r w:rsidRPr="00F7015D">
        <w:t>Рискът от отрицателно отражение върху поведението на детето възниква от начина на взаимодействие между макросредата и микросредата. При наличие на конфликт, той се превръща в източник на емоционални преживявания и физически потребности, които обуславят отклонение в поведението на детето/тийнейджъра, насочено към компенсиране на конфликта. В същото време те извършват противообществени прояви и престъпления – крадат, употребяват и разпространяват наркотични вещества, проституират, просят, в много случаи проявяват агресия/насилие и нарушават правата на деца и възрастни.</w:t>
      </w:r>
    </w:p>
    <w:p w:rsidR="008F3F12" w:rsidRPr="00F7015D" w:rsidRDefault="008F3F12" w:rsidP="008F3F12">
      <w:pPr>
        <w:ind w:firstLine="708"/>
        <w:jc w:val="both"/>
      </w:pPr>
      <w:r w:rsidRPr="00F7015D">
        <w:t xml:space="preserve">Безнадзорността  поставя непълнолетните в ситуация на висок криминогенен риск. Безнадзорните деца всекидневно са подложени на физическо, психично и сексуално насилие, недохранване, болести. Нарушени са техни основни права. </w:t>
      </w:r>
    </w:p>
    <w:p w:rsidR="008F3F12" w:rsidRPr="00F7015D" w:rsidRDefault="008F3F12" w:rsidP="008F3F12">
      <w:pPr>
        <w:ind w:firstLine="708"/>
        <w:jc w:val="both"/>
      </w:pPr>
      <w:r w:rsidRPr="00F7015D">
        <w:t>Тревога будят данните за насилието в училищата. Сбиванията са ежедневна практика. Колкото и агресивното поведение да е неизменна част от израстването на младежите, данните са сигнал за необходимостта от предприемане на мерки за ограничаване на побоите в училищната среда.</w:t>
      </w:r>
    </w:p>
    <w:p w:rsidR="008F3F12" w:rsidRPr="00F7015D" w:rsidRDefault="008F3F12" w:rsidP="008F3F12">
      <w:pPr>
        <w:ind w:firstLine="708"/>
        <w:jc w:val="both"/>
      </w:pPr>
      <w:r w:rsidRPr="00F7015D">
        <w:lastRenderedPageBreak/>
        <w:t>Причините за девиантното поведение трябва да се търсят основно в действията или бездействието на родителите, както и в обществото като цяло. Най-рискови се оказват младите хора без родителски контрол (отсъстващи родители, непълни семейства) и ранно отпадналите от образователната система. Не бива да се пренебрегва и влиянието, което оказват и други фактори: социално-икономически, личностни, социокултурни, социално-педагогически, негативното влияние на приятелската среда, фактори, които са свързани с ниската правна култура и морал.</w:t>
      </w:r>
    </w:p>
    <w:p w:rsidR="008F3F12" w:rsidRPr="00F7015D" w:rsidRDefault="008F3F12" w:rsidP="008F3F12">
      <w:pPr>
        <w:rPr>
          <w:color w:val="FF0000"/>
        </w:rPr>
      </w:pPr>
      <w:r w:rsidRPr="00F7015D">
        <w:t>9.1.3 Предприети мерки</w:t>
      </w:r>
    </w:p>
    <w:p w:rsidR="008F3F12" w:rsidRPr="00F7015D" w:rsidRDefault="008F3F12" w:rsidP="008F3F12">
      <w:pPr>
        <w:jc w:val="both"/>
      </w:pPr>
      <w:r w:rsidRPr="00F7015D">
        <w:t>Община Сунгурларе съвместно с органите на Образованието, РУ на МВР гр. Сунгурларе и дирекция „Социално подпомагане“ гр. Карнобат, организират и координират своите действия относно малолетните и непълнолетните лица на територията на общината в две основни направления:</w:t>
      </w:r>
    </w:p>
    <w:p w:rsidR="008F3F12" w:rsidRPr="00F7015D" w:rsidRDefault="008F3F12" w:rsidP="008F3F12">
      <w:pPr>
        <w:pStyle w:val="a6"/>
        <w:numPr>
          <w:ilvl w:val="0"/>
          <w:numId w:val="4"/>
        </w:numPr>
        <w:jc w:val="both"/>
      </w:pPr>
      <w:r w:rsidRPr="00F7015D">
        <w:t>Превенция и борба срещу противообществените прояви на малолетните и непълнолетните и противодействие на непълнолетната престъпност.</w:t>
      </w:r>
    </w:p>
    <w:p w:rsidR="008F3F12" w:rsidRPr="00F7015D" w:rsidRDefault="008F3F12" w:rsidP="008F3F12">
      <w:pPr>
        <w:pStyle w:val="a6"/>
        <w:numPr>
          <w:ilvl w:val="0"/>
          <w:numId w:val="4"/>
        </w:numPr>
        <w:jc w:val="both"/>
      </w:pPr>
      <w:r w:rsidRPr="00F7015D">
        <w:t>Социално-превантивна дейност, като издирват  и установяват малолетните и непълнолетните, които се нуждаят от помощи вземат мерки за тяхната социална защита и развитие.</w:t>
      </w:r>
    </w:p>
    <w:p w:rsidR="008F3F12" w:rsidRPr="00F7015D" w:rsidRDefault="008F3F12" w:rsidP="008F3F12">
      <w:pPr>
        <w:ind w:left="360"/>
        <w:jc w:val="both"/>
      </w:pPr>
      <w:r w:rsidRPr="00F7015D">
        <w:t xml:space="preserve">МКБППМН към Община Сунгурларе е орган на местната изпълнителна власт за </w:t>
      </w:r>
    </w:p>
    <w:p w:rsidR="008F3F12" w:rsidRPr="00F7015D" w:rsidRDefault="008F3F12" w:rsidP="008F3F12">
      <w:pPr>
        <w:jc w:val="both"/>
      </w:pPr>
      <w:r w:rsidRPr="00F7015D">
        <w:t>ръководство, организация и контрол на цялостната дейност по превенция и противодействие на асоциално поведение на малолетни и непълнолетни на местно ниво. Местната комисия се състои от 9 /девет/ члена определени със заповед на Кмета на Община Сунгурларе.</w:t>
      </w:r>
    </w:p>
    <w:p w:rsidR="008F3F12" w:rsidRPr="00F7015D" w:rsidRDefault="008F3F12" w:rsidP="008F3F12">
      <w:pPr>
        <w:jc w:val="both"/>
      </w:pPr>
      <w:r w:rsidRPr="00F7015D">
        <w:t>През 2018 година в местната комисия  са разгледани 33 / тридесет и три/ възпитателни дела. Деянията, които са извършени от малолетни и непълнолетни са противообществени прояви, престъпления и административни нарушения, като от общия брой възпитателни  дела, едно е за противообществена проява, 22 /двадесет и две/ са за престъпления и 10 / десет/ са за административни нарушения. Съотношението по възраст и пол е следното: 14/четиринадесет/ деяния са извършени от малолетни, като 13/тринадесет / се извършени от мо</w:t>
      </w:r>
      <w:r w:rsidR="00F7015D">
        <w:t>мчета и едно от момиче. Най-голя</w:t>
      </w:r>
      <w:r w:rsidRPr="00F7015D">
        <w:t>м дял от извършените престъпления са тези срещу собствеността – кражбите и по точно така наречените домови кражби.</w:t>
      </w:r>
    </w:p>
    <w:p w:rsidR="008F3F12" w:rsidRPr="00F7015D" w:rsidRDefault="008F3F12" w:rsidP="008F3F12">
      <w:pPr>
        <w:jc w:val="both"/>
      </w:pPr>
      <w:r w:rsidRPr="00F7015D">
        <w:t>В началото на всяка календарна година, Местната комисия приема План-програма въз основа, на която осъществява своята превантивна дейност на територията на Община Сунгурларе.</w:t>
      </w:r>
    </w:p>
    <w:p w:rsidR="008F3F12" w:rsidRPr="00F7015D" w:rsidRDefault="008F3F12" w:rsidP="008F3F12">
      <w:pPr>
        <w:jc w:val="both"/>
      </w:pPr>
      <w:r w:rsidRPr="00F7015D">
        <w:t>На основание чл.7, ал.2 от Закон за борба срещу противообществените прояви на малолетните и непълнолетните, Местната комисия ежегодно отчита дейността си пред Кмета на Община Сунгурларе и пред Централната комисия за борба срещу противообществените прояви на малолетни о непълнолетните. Годишният отчет на МКБППМН към Община Сунгурларе се разработва и структурира върху унифицирана рамка по определени показатели от ЦКБППМН към Министерски съвет.</w:t>
      </w:r>
    </w:p>
    <w:p w:rsidR="008F3F12" w:rsidRPr="00F7015D" w:rsidRDefault="008F3F12" w:rsidP="008F3F12"/>
    <w:p w:rsidR="008F3F12" w:rsidRPr="00F7015D" w:rsidRDefault="008F3F12" w:rsidP="008F3F12">
      <w:pPr>
        <w:ind w:firstLine="426"/>
        <w:jc w:val="both"/>
      </w:pPr>
      <w:r w:rsidRPr="00F7015D">
        <w:t xml:space="preserve">МКБППМН към Община Сунгурларе съвместно с класните ръководители, педагогическия съветник при СУ „Христо Ботев“ и служители от РУ на МВР гр. Сунгурларе, провеждат беседи с деца в риск от извършване на противообществени прояви и престъпления, разясняват на учениците в часа на класния, последиците от извършването на противообществени прояви и престъпления, отрицателните последици от ранните бракове, непосещаването на учебните занятия, ниската образованост, които са основни фактори за ниския социален статус на човека в съвременното общество.  </w:t>
      </w:r>
    </w:p>
    <w:p w:rsidR="008F3F12" w:rsidRPr="00F7015D" w:rsidRDefault="008F3F12" w:rsidP="008F3F12">
      <w:pPr>
        <w:ind w:firstLine="426"/>
        <w:jc w:val="both"/>
      </w:pPr>
      <w:r w:rsidRPr="00F7015D">
        <w:t xml:space="preserve">Превантивната работа с родителите, основно обхваща всички родители на деца, на които е наложени възпитателна мярка по чл. 13, ал. 1, т. 1 „ Предупреждение“ от ЗБППМН. Родителите на децата се запознават накратко с дейността на Местната </w:t>
      </w:r>
      <w:r w:rsidRPr="00F7015D">
        <w:lastRenderedPageBreak/>
        <w:t xml:space="preserve">комисия, както и с възпитателните мерки, които биха се наложили на дете извършило последваща противообществена проява или престъпление. Резултатите от проведените разговори дават изключителни резултати, по отношение на родители с леки проявления в обществото или с чисто криминално минало. По отношение на родители с изградено трайно престъпно поведение, е безсмислена каква и да е работа с тях.  </w:t>
      </w:r>
    </w:p>
    <w:p w:rsidR="008F3F12" w:rsidRPr="00F7015D" w:rsidRDefault="008F3F12" w:rsidP="008F3F12">
      <w:pPr>
        <w:ind w:firstLine="426"/>
        <w:jc w:val="both"/>
      </w:pPr>
      <w:r w:rsidRPr="00F7015D">
        <w:t>Местната комисия целогодишно приема заявки от директорите на училищата за организиране на срещи и беседи по различни проблеми, свързани с противообществените прояви и престъпления при подрастващите.</w:t>
      </w:r>
    </w:p>
    <w:p w:rsidR="008F3F12" w:rsidRPr="00F7015D" w:rsidRDefault="008F3F12" w:rsidP="008F3F12">
      <w:pPr>
        <w:ind w:firstLine="426"/>
        <w:jc w:val="both"/>
        <w:rPr>
          <w:sz w:val="26"/>
          <w:szCs w:val="26"/>
        </w:rPr>
      </w:pPr>
    </w:p>
    <w:p w:rsidR="008F3F12" w:rsidRPr="00F7015D" w:rsidRDefault="008F3F12" w:rsidP="008F3F12">
      <w:pPr>
        <w:ind w:firstLine="708"/>
        <w:jc w:val="both"/>
        <w:rPr>
          <w:color w:val="FF0000"/>
        </w:rPr>
      </w:pPr>
    </w:p>
    <w:p w:rsidR="008F3F12" w:rsidRPr="00F7015D" w:rsidRDefault="008F3F12" w:rsidP="008F3F12">
      <w:r w:rsidRPr="00F7015D">
        <w:t>9.2 ПЪТНОТРАНСПОРТНИ ПРОИЗШЕСТВИЯ С УЧАСТИЕ НА МЛАДИ ХОРА</w:t>
      </w:r>
    </w:p>
    <w:p w:rsidR="008F3F12" w:rsidRPr="00F7015D" w:rsidRDefault="008F3F12" w:rsidP="008F3F12">
      <w:pPr>
        <w:jc w:val="both"/>
      </w:pPr>
      <w:r w:rsidRPr="00F7015D">
        <w:t>9.2.1 Състояние на изследвания индикатор</w:t>
      </w:r>
    </w:p>
    <w:p w:rsidR="008F3F12" w:rsidRPr="00F7015D" w:rsidRDefault="008F3F12" w:rsidP="008F3F12">
      <w:pPr>
        <w:jc w:val="both"/>
      </w:pPr>
      <w:r w:rsidRPr="00F7015D">
        <w:t>По данни на Световната здравна организация всяка година в резултат на пътнотранспортни произшествия (ПТП) загиват над 1.2 милиона души, а още 50 милиона получават различни по вид и тежест травми.</w:t>
      </w:r>
    </w:p>
    <w:p w:rsidR="008F3F12" w:rsidRPr="00F7015D" w:rsidRDefault="008F3F12" w:rsidP="008F3F12">
      <w:pPr>
        <w:jc w:val="both"/>
      </w:pPr>
      <w:r w:rsidRPr="00F7015D">
        <w:t>Пътнотранспортният травматизъм е сериозен проблем и за нашата страна. За последните 10 години по пътищата на страната в резултат на ПТП са пострадали 100 542 души (9852 загинали и 90 690 ранени).</w:t>
      </w:r>
    </w:p>
    <w:p w:rsidR="008F3F12" w:rsidRPr="00F7015D" w:rsidRDefault="008F3F12" w:rsidP="008F3F12">
      <w:pPr>
        <w:jc w:val="both"/>
      </w:pPr>
      <w:r w:rsidRPr="00F7015D">
        <w:t>Децата до 17-годишна възраст най-често стават жертва при ПТП като пътници и пешеходци, младежите на 18-24 години – като пътници и водачи, лицата на 25-64 години – като водачи и пътници, а възрастните лица – предимно като пешеходци.</w:t>
      </w:r>
    </w:p>
    <w:p w:rsidR="008F3F12" w:rsidRPr="00F7015D" w:rsidRDefault="008F3F12" w:rsidP="008F3F12">
      <w:pPr>
        <w:ind w:firstLine="708"/>
        <w:jc w:val="both"/>
      </w:pPr>
      <w:r w:rsidRPr="00F7015D">
        <w:t>Основните рискови фактори, поради които настъпват пътнотранспортни произшествия с пострадали млади хора, са:</w:t>
      </w:r>
    </w:p>
    <w:p w:rsidR="008F3F12" w:rsidRPr="00F7015D" w:rsidRDefault="008F3F12" w:rsidP="008F3F12">
      <w:pPr>
        <w:jc w:val="both"/>
      </w:pPr>
      <w:r w:rsidRPr="00F7015D">
        <w:t>- пътувания с леки автомобили на младежки компании, които са превозвани много често от водачи в нетрезво състояние или употребили упойващи вещества;</w:t>
      </w:r>
    </w:p>
    <w:p w:rsidR="008F3F12" w:rsidRPr="00F7015D" w:rsidRDefault="008F3F12" w:rsidP="008F3F12">
      <w:pPr>
        <w:jc w:val="both"/>
      </w:pPr>
      <w:r w:rsidRPr="00F7015D">
        <w:t>-подчертана склонност на младите водачи към високи скорости и рискови изпреварвания, несъответстващи на малкия опит зад волана;</w:t>
      </w:r>
    </w:p>
    <w:p w:rsidR="008F3F12" w:rsidRPr="00F7015D" w:rsidRDefault="008F3F12" w:rsidP="008F3F12">
      <w:pPr>
        <w:jc w:val="both"/>
      </w:pPr>
      <w:r w:rsidRPr="00F7015D">
        <w:t>- неспособност за оценка на риска в движението;</w:t>
      </w:r>
    </w:p>
    <w:p w:rsidR="008F3F12" w:rsidRPr="00F7015D" w:rsidRDefault="008F3F12" w:rsidP="008F3F12">
      <w:pPr>
        <w:jc w:val="both"/>
      </w:pPr>
      <w:r w:rsidRPr="00F7015D">
        <w:t>-често пренебрегване задължението за ползване на предпазни колани, особено на задните седалки в леките автомобили;</w:t>
      </w:r>
    </w:p>
    <w:p w:rsidR="008F3F12" w:rsidRPr="00F7015D" w:rsidRDefault="008F3F12" w:rsidP="008F3F12">
      <w:pPr>
        <w:jc w:val="both"/>
      </w:pPr>
      <w:r w:rsidRPr="00F7015D">
        <w:t>- неизползване на предпазни каски като мотоциклетисти и мотопедисти, както и превозване на деца в автомобили без използване на обезопасителни столчета и седалки;</w:t>
      </w:r>
    </w:p>
    <w:p w:rsidR="008F3F12" w:rsidRPr="00F7015D" w:rsidRDefault="008F3F12" w:rsidP="008F3F12">
      <w:pPr>
        <w:jc w:val="both"/>
        <w:rPr>
          <w:color w:val="FF0000"/>
        </w:rPr>
      </w:pPr>
      <w:r w:rsidRPr="00F7015D">
        <w:t>- управление на МПС от голяма част от юношите и младежите без необходимата правоспособност</w:t>
      </w:r>
      <w:r w:rsidRPr="00F7015D">
        <w:rPr>
          <w:color w:val="FF0000"/>
        </w:rPr>
        <w:t>.</w:t>
      </w:r>
    </w:p>
    <w:p w:rsidR="008F3F12" w:rsidRPr="00F7015D" w:rsidRDefault="008F3F12" w:rsidP="008F3F12">
      <w:pPr>
        <w:jc w:val="both"/>
      </w:pPr>
      <w:r w:rsidRPr="00F7015D">
        <w:t>9.2.2.Предприети мерки</w:t>
      </w:r>
    </w:p>
    <w:p w:rsidR="008F3F12" w:rsidRPr="00F7015D" w:rsidRDefault="008F3F12" w:rsidP="008F3F12">
      <w:pPr>
        <w:ind w:firstLine="708"/>
        <w:jc w:val="both"/>
      </w:pPr>
      <w:r w:rsidRPr="00F7015D">
        <w:t xml:space="preserve"> В Община Сунгурларе през 2018 г. се осъществява комплекс от организационни и практически мерки за изпълнение на приоритетни задачи по Националната стратегия за младежта (2010-2020). Успешно са проведени традиционните кампании за превенция и намаляване на пътнотранспортните произшествия с деца и юноши –  „ Да пазим живота на децата на пътя“. Във връзка с организиране на програми за пътна безопасност в училищата  през 2018 г. са проведени  лекции в часовете на класните ръководители, съвместно с представители на РУ „Полиция“ и МКБППМН. Организирани са следните кампании и инициативи - Програма „Безопасност на движението в часа на класа“, Викторина „Да запазим децата на пътя”, Майсторско управление на велосипеди, Инициативи за реализиране на програми за пътна безопасност, Провеждане на ежегодни кампании за пътна безопасност; „ Детски полицейски академии” (ДПА).</w:t>
      </w:r>
    </w:p>
    <w:p w:rsidR="008F3F12" w:rsidRPr="00F7015D" w:rsidRDefault="008F3F12" w:rsidP="008F3F12">
      <w:pPr>
        <w:ind w:firstLine="708"/>
        <w:jc w:val="both"/>
      </w:pPr>
      <w:r w:rsidRPr="00F7015D">
        <w:t xml:space="preserve">През  2018 за трета поредна година Община Сунгурларе отбеляза Европейския ден без загинали на пътя – операция EDWARD-European Day Without A Road  Death. Координатор на операцията е Главна дирекция «Национална полиция» на МВР. </w:t>
      </w:r>
      <w:r w:rsidRPr="00F7015D">
        <w:lastRenderedPageBreak/>
        <w:t>Съвместно с 35 ученици от СУ «Хр.Ботев» гр. Сунгурларе  и БМЧК се отбеляза и Световния ден на възпоменание за жертвите от пътнотранспортни произшествия.</w:t>
      </w:r>
    </w:p>
    <w:p w:rsidR="008F3F12" w:rsidRPr="00F7015D" w:rsidRDefault="008F3F12" w:rsidP="008F3F12">
      <w:pPr>
        <w:ind w:firstLine="708"/>
        <w:jc w:val="both"/>
      </w:pPr>
      <w:r w:rsidRPr="00F7015D">
        <w:t xml:space="preserve"> С оглед превенция и гарантиране сигурността на децата в общината са предприети и се изпълняват редица мероприятия целящи подобряване средата за сигурност на децата. </w:t>
      </w:r>
    </w:p>
    <w:p w:rsidR="008F3F12" w:rsidRPr="00F7015D" w:rsidRDefault="008F3F12" w:rsidP="008F3F12">
      <w:pPr>
        <w:ind w:firstLine="708"/>
        <w:jc w:val="both"/>
      </w:pPr>
      <w:r w:rsidRPr="00F7015D">
        <w:t>Периодично се извършват явни проверки, както и негласно наблюдение на всички сборища на криминалния контингент и такива на малолетни и непълнолетни лица с цел превенция. Провеждат се целогодишно редица мероприятия съвместно с РЗИ, МОН и др. институции. Успоредно с органите на полицията, в община Сунгурларе работи и Местна комисия за борба с противообществените прояви на малолетните и непълнолетните, чийто основен приоритет е установяването на причините за извършването на противообществени прояви от малолетни и непълнолетни, както и прилагане на различни методи за ограничаването им. Кризата в основните социални ценности, както и всички негативни икономически фактори, обхванали обществото ни резонират върху детската душевност и оказват отрицателно въздействие върху нея. През годината се провеждат беседи и лектории по различни теми за ограничаване на девиантното поведение сред подрастващите. Местната комисия активно се стреми да    отговаря на нуждата от противодействие на този вече станал национален проблем – агресията сред децата, в училище и извън него. За тази цел организира множество спортни мероприятия, съвместно с община Сунгурларе, включващи турнири по футбол, волейбол, баскетбол, лека атлетика.</w:t>
      </w:r>
    </w:p>
    <w:p w:rsidR="008F3F12" w:rsidRPr="00F7015D" w:rsidRDefault="008F3F12" w:rsidP="008F3F12">
      <w:pPr>
        <w:ind w:left="708"/>
        <w:jc w:val="both"/>
      </w:pPr>
      <w:r w:rsidRPr="00F7015D">
        <w:t xml:space="preserve">Един от ескалиращите проблеми в училищата от областта е нарастващата </w:t>
      </w:r>
    </w:p>
    <w:p w:rsidR="008F3F12" w:rsidRPr="00F7015D" w:rsidRDefault="008F3F12" w:rsidP="008F3F12">
      <w:pPr>
        <w:jc w:val="both"/>
      </w:pPr>
      <w:r w:rsidRPr="00F7015D">
        <w:t>склонност в учениците към насилие. Най-актуалните форми на насилие сред подрастващите се изразяват чрез директна агресия или онлайн тормоз. Това се дължи на:</w:t>
      </w:r>
    </w:p>
    <w:p w:rsidR="008F3F12" w:rsidRPr="00F7015D" w:rsidRDefault="008F3F12" w:rsidP="008F3F12">
      <w:pPr>
        <w:ind w:left="708"/>
        <w:jc w:val="both"/>
      </w:pPr>
      <w:r w:rsidRPr="00F7015D">
        <w:t xml:space="preserve"> • Недостатъчно внимание и грижа на семейството към децата за тяхното социализиране, възпитаване на здравни и културни навици;</w:t>
      </w:r>
    </w:p>
    <w:p w:rsidR="008F3F12" w:rsidRPr="00F7015D" w:rsidRDefault="008F3F12" w:rsidP="008F3F12">
      <w:pPr>
        <w:ind w:firstLine="708"/>
        <w:jc w:val="both"/>
      </w:pPr>
      <w:r w:rsidRPr="00F7015D">
        <w:t xml:space="preserve"> • Негативното влияние на неформалните групи от улицата или приятелската среда и т.н.; </w:t>
      </w:r>
    </w:p>
    <w:p w:rsidR="008F3F12" w:rsidRPr="00F7015D" w:rsidRDefault="008F3F12" w:rsidP="008F3F12">
      <w:pPr>
        <w:ind w:firstLine="708"/>
        <w:jc w:val="both"/>
      </w:pPr>
      <w:r w:rsidRPr="00F7015D">
        <w:t xml:space="preserve">• Нарастващата агресия сред учениците; </w:t>
      </w:r>
    </w:p>
    <w:p w:rsidR="008F3F12" w:rsidRPr="00F7015D" w:rsidRDefault="008F3F12" w:rsidP="008F3F12">
      <w:pPr>
        <w:ind w:firstLine="708"/>
        <w:jc w:val="both"/>
      </w:pPr>
      <w:r w:rsidRPr="00F7015D">
        <w:t xml:space="preserve">• Наличие на етническа нетолерантност и нетърпимост по отношение на религиозна принадлежност, възрастов признак и др.; </w:t>
      </w:r>
    </w:p>
    <w:p w:rsidR="008F3F12" w:rsidRPr="00F7015D" w:rsidRDefault="008F3F12" w:rsidP="008F3F12">
      <w:pPr>
        <w:ind w:firstLine="708"/>
        <w:jc w:val="both"/>
      </w:pPr>
      <w:r w:rsidRPr="00F7015D">
        <w:t xml:space="preserve">• Безспорната роля на педагогическия съветник като фактор за формиране на ценностна система в учениците. </w:t>
      </w:r>
    </w:p>
    <w:p w:rsidR="008F3F12" w:rsidRPr="00F7015D" w:rsidRDefault="008F3F12" w:rsidP="008F3F12"/>
    <w:p w:rsidR="008F3F12" w:rsidRPr="00F7015D" w:rsidRDefault="008F3F12" w:rsidP="008F3F12">
      <w:r w:rsidRPr="00F7015D">
        <w:t>Във връзка с това в Община Сунгурларе, съвместно с МСБППМН, здравните медиатори  и БМЧК се реализираха  няколко инициативи, дискусии и работни срещи.</w:t>
      </w:r>
    </w:p>
    <w:p w:rsidR="008F3F12" w:rsidRPr="00F7015D" w:rsidRDefault="008F3F12" w:rsidP="008F3F12">
      <w:pPr>
        <w:spacing w:line="360" w:lineRule="auto"/>
        <w:jc w:val="both"/>
        <w:rPr>
          <w:b/>
          <w:color w:val="21252C"/>
          <w:shd w:val="clear" w:color="auto" w:fill="FFFFFF"/>
        </w:rPr>
      </w:pPr>
    </w:p>
    <w:p w:rsidR="008F3F12" w:rsidRPr="00F7015D" w:rsidRDefault="008F3F12" w:rsidP="008F3F12">
      <w:pPr>
        <w:spacing w:line="360" w:lineRule="auto"/>
        <w:ind w:firstLine="708"/>
        <w:jc w:val="both"/>
        <w:rPr>
          <w:b/>
          <w:color w:val="21252C"/>
          <w:shd w:val="clear" w:color="auto" w:fill="FFFFFF"/>
        </w:rPr>
      </w:pPr>
    </w:p>
    <w:p w:rsidR="008F3F12" w:rsidRPr="00F7015D" w:rsidRDefault="008F3F12" w:rsidP="008F3F12">
      <w:pPr>
        <w:spacing w:line="360" w:lineRule="auto"/>
        <w:ind w:firstLine="708"/>
        <w:jc w:val="both"/>
        <w:rPr>
          <w:b/>
          <w:color w:val="21252C"/>
          <w:shd w:val="clear" w:color="auto" w:fill="FFFFFF"/>
        </w:rPr>
      </w:pPr>
      <w:r w:rsidRPr="00F7015D">
        <w:rPr>
          <w:b/>
          <w:color w:val="21252C"/>
          <w:shd w:val="clear" w:color="auto" w:fill="FFFFFF"/>
        </w:rPr>
        <w:t>ВАСИЛ  ПАНДЕЛИЕВ</w:t>
      </w:r>
    </w:p>
    <w:p w:rsidR="008F3F12" w:rsidRPr="00F7015D" w:rsidRDefault="008F3F12" w:rsidP="008F3F12">
      <w:pPr>
        <w:spacing w:line="360" w:lineRule="auto"/>
        <w:ind w:firstLine="708"/>
        <w:jc w:val="both"/>
        <w:rPr>
          <w:b/>
          <w:color w:val="21252C"/>
          <w:shd w:val="clear" w:color="auto" w:fill="FFFFFF"/>
        </w:rPr>
      </w:pPr>
      <w:r w:rsidRPr="00F7015D">
        <w:rPr>
          <w:b/>
          <w:color w:val="21252C"/>
          <w:shd w:val="clear" w:color="auto" w:fill="FFFFFF"/>
        </w:rPr>
        <w:t>Кмет на  Община Сунгурларе</w:t>
      </w:r>
    </w:p>
    <w:p w:rsidR="008F3F12" w:rsidRPr="00F7015D" w:rsidRDefault="008F3F12" w:rsidP="008F3F12">
      <w:pPr>
        <w:spacing w:line="360" w:lineRule="auto"/>
        <w:ind w:firstLine="708"/>
        <w:jc w:val="both"/>
        <w:rPr>
          <w:color w:val="21252C"/>
          <w:shd w:val="clear" w:color="auto" w:fill="FFFFFF"/>
        </w:rPr>
      </w:pPr>
    </w:p>
    <w:p w:rsidR="008F3F12" w:rsidRPr="00F7015D" w:rsidRDefault="008F3F12" w:rsidP="008F3F12">
      <w:pPr>
        <w:spacing w:line="360" w:lineRule="auto"/>
        <w:ind w:firstLine="708"/>
        <w:jc w:val="both"/>
        <w:rPr>
          <w:color w:val="21252C"/>
          <w:shd w:val="clear" w:color="auto" w:fill="FFFFFF"/>
        </w:rPr>
      </w:pPr>
    </w:p>
    <w:p w:rsidR="008F3F12" w:rsidRPr="00F7015D" w:rsidRDefault="008F3F12" w:rsidP="008F3F12">
      <w:pPr>
        <w:spacing w:line="360" w:lineRule="auto"/>
        <w:ind w:firstLine="708"/>
        <w:jc w:val="both"/>
        <w:rPr>
          <w:color w:val="21252C"/>
          <w:shd w:val="clear" w:color="auto" w:fill="FFFFFF"/>
        </w:rPr>
      </w:pPr>
    </w:p>
    <w:p w:rsidR="008F3F12" w:rsidRPr="00F7015D" w:rsidRDefault="008F3F12" w:rsidP="008F3F12">
      <w:pPr>
        <w:spacing w:line="360" w:lineRule="auto"/>
        <w:ind w:firstLine="708"/>
        <w:jc w:val="both"/>
        <w:rPr>
          <w:color w:val="21252C"/>
          <w:shd w:val="clear" w:color="auto" w:fill="FFFFFF"/>
        </w:rPr>
      </w:pPr>
      <w:r w:rsidRPr="00F7015D">
        <w:rPr>
          <w:color w:val="21252C"/>
          <w:shd w:val="clear" w:color="auto" w:fill="FFFFFF"/>
        </w:rPr>
        <w:t>Изготвил:</w:t>
      </w:r>
    </w:p>
    <w:p w:rsidR="008F3F12" w:rsidRPr="00F7015D" w:rsidRDefault="008F3F12" w:rsidP="008F3F12">
      <w:pPr>
        <w:spacing w:line="360" w:lineRule="auto"/>
        <w:ind w:firstLine="708"/>
        <w:jc w:val="both"/>
        <w:rPr>
          <w:color w:val="21252C"/>
          <w:shd w:val="clear" w:color="auto" w:fill="FFFFFF"/>
        </w:rPr>
      </w:pPr>
      <w:r w:rsidRPr="00F7015D">
        <w:rPr>
          <w:color w:val="21252C"/>
          <w:shd w:val="clear" w:color="auto" w:fill="FFFFFF"/>
        </w:rPr>
        <w:t>Антоанета Алексиева:</w:t>
      </w:r>
    </w:p>
    <w:p w:rsidR="00174984" w:rsidRPr="00F7015D" w:rsidRDefault="008F3F12" w:rsidP="00F7015D">
      <w:pPr>
        <w:spacing w:line="360" w:lineRule="auto"/>
        <w:ind w:firstLine="708"/>
        <w:jc w:val="both"/>
      </w:pPr>
      <w:r w:rsidRPr="00F7015D">
        <w:rPr>
          <w:color w:val="21252C"/>
          <w:shd w:val="clear" w:color="auto" w:fill="FFFFFF"/>
        </w:rPr>
        <w:t>гл. експерт в дирекция ОУЗСДКСТ</w:t>
      </w:r>
      <w:bookmarkStart w:id="0" w:name="_GoBack"/>
      <w:bookmarkEnd w:id="0"/>
    </w:p>
    <w:sectPr w:rsidR="00174984" w:rsidRPr="00F7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016333"/>
    <w:multiLevelType w:val="hybridMultilevel"/>
    <w:tmpl w:val="C902003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5A651B1B"/>
    <w:multiLevelType w:val="hybridMultilevel"/>
    <w:tmpl w:val="ABE62D5A"/>
    <w:lvl w:ilvl="0" w:tplc="0CCC4B28">
      <w:numFmt w:val="bullet"/>
      <w:lvlText w:val="-"/>
      <w:lvlJc w:val="left"/>
      <w:pPr>
        <w:tabs>
          <w:tab w:val="num" w:pos="1773"/>
        </w:tabs>
        <w:ind w:left="1773" w:hanging="360"/>
      </w:pPr>
      <w:rPr>
        <w:rFonts w:ascii="Times New Roman" w:eastAsia="Times New Roman" w:hAnsi="Times New Roman" w:cs="Times New Roman" w:hint="default"/>
      </w:rPr>
    </w:lvl>
    <w:lvl w:ilvl="1" w:tplc="04020003" w:tentative="1">
      <w:start w:val="1"/>
      <w:numFmt w:val="bullet"/>
      <w:lvlText w:val="o"/>
      <w:lvlJc w:val="left"/>
      <w:pPr>
        <w:tabs>
          <w:tab w:val="num" w:pos="2493"/>
        </w:tabs>
        <w:ind w:left="2493" w:hanging="360"/>
      </w:pPr>
      <w:rPr>
        <w:rFonts w:ascii="Courier New" w:hAnsi="Courier New" w:cs="Courier New" w:hint="default"/>
      </w:rPr>
    </w:lvl>
    <w:lvl w:ilvl="2" w:tplc="04020005" w:tentative="1">
      <w:start w:val="1"/>
      <w:numFmt w:val="bullet"/>
      <w:lvlText w:val=""/>
      <w:lvlJc w:val="left"/>
      <w:pPr>
        <w:tabs>
          <w:tab w:val="num" w:pos="3213"/>
        </w:tabs>
        <w:ind w:left="3213" w:hanging="360"/>
      </w:pPr>
      <w:rPr>
        <w:rFonts w:ascii="Wingdings" w:hAnsi="Wingdings" w:hint="default"/>
      </w:rPr>
    </w:lvl>
    <w:lvl w:ilvl="3" w:tplc="04020001" w:tentative="1">
      <w:start w:val="1"/>
      <w:numFmt w:val="bullet"/>
      <w:lvlText w:val=""/>
      <w:lvlJc w:val="left"/>
      <w:pPr>
        <w:tabs>
          <w:tab w:val="num" w:pos="3933"/>
        </w:tabs>
        <w:ind w:left="3933" w:hanging="360"/>
      </w:pPr>
      <w:rPr>
        <w:rFonts w:ascii="Symbol" w:hAnsi="Symbol" w:hint="default"/>
      </w:rPr>
    </w:lvl>
    <w:lvl w:ilvl="4" w:tplc="04020003" w:tentative="1">
      <w:start w:val="1"/>
      <w:numFmt w:val="bullet"/>
      <w:lvlText w:val="o"/>
      <w:lvlJc w:val="left"/>
      <w:pPr>
        <w:tabs>
          <w:tab w:val="num" w:pos="4653"/>
        </w:tabs>
        <w:ind w:left="4653" w:hanging="360"/>
      </w:pPr>
      <w:rPr>
        <w:rFonts w:ascii="Courier New" w:hAnsi="Courier New" w:cs="Courier New" w:hint="default"/>
      </w:rPr>
    </w:lvl>
    <w:lvl w:ilvl="5" w:tplc="04020005" w:tentative="1">
      <w:start w:val="1"/>
      <w:numFmt w:val="bullet"/>
      <w:lvlText w:val=""/>
      <w:lvlJc w:val="left"/>
      <w:pPr>
        <w:tabs>
          <w:tab w:val="num" w:pos="5373"/>
        </w:tabs>
        <w:ind w:left="5373" w:hanging="360"/>
      </w:pPr>
      <w:rPr>
        <w:rFonts w:ascii="Wingdings" w:hAnsi="Wingdings" w:hint="default"/>
      </w:rPr>
    </w:lvl>
    <w:lvl w:ilvl="6" w:tplc="04020001" w:tentative="1">
      <w:start w:val="1"/>
      <w:numFmt w:val="bullet"/>
      <w:lvlText w:val=""/>
      <w:lvlJc w:val="left"/>
      <w:pPr>
        <w:tabs>
          <w:tab w:val="num" w:pos="6093"/>
        </w:tabs>
        <w:ind w:left="6093" w:hanging="360"/>
      </w:pPr>
      <w:rPr>
        <w:rFonts w:ascii="Symbol" w:hAnsi="Symbol" w:hint="default"/>
      </w:rPr>
    </w:lvl>
    <w:lvl w:ilvl="7" w:tplc="04020003" w:tentative="1">
      <w:start w:val="1"/>
      <w:numFmt w:val="bullet"/>
      <w:lvlText w:val="o"/>
      <w:lvlJc w:val="left"/>
      <w:pPr>
        <w:tabs>
          <w:tab w:val="num" w:pos="6813"/>
        </w:tabs>
        <w:ind w:left="6813" w:hanging="360"/>
      </w:pPr>
      <w:rPr>
        <w:rFonts w:ascii="Courier New" w:hAnsi="Courier New" w:cs="Courier New" w:hint="default"/>
      </w:rPr>
    </w:lvl>
    <w:lvl w:ilvl="8" w:tplc="04020005" w:tentative="1">
      <w:start w:val="1"/>
      <w:numFmt w:val="bullet"/>
      <w:lvlText w:val=""/>
      <w:lvlJc w:val="left"/>
      <w:pPr>
        <w:tabs>
          <w:tab w:val="num" w:pos="7533"/>
        </w:tabs>
        <w:ind w:left="7533" w:hanging="360"/>
      </w:pPr>
      <w:rPr>
        <w:rFonts w:ascii="Wingdings" w:hAnsi="Wingdings" w:hint="default"/>
      </w:rPr>
    </w:lvl>
  </w:abstractNum>
  <w:abstractNum w:abstractNumId="2" w15:restartNumberingAfterBreak="0">
    <w:nsid w:val="5B1D26F9"/>
    <w:multiLevelType w:val="hybridMultilevel"/>
    <w:tmpl w:val="8F16DB80"/>
    <w:lvl w:ilvl="0" w:tplc="0402000B">
      <w:start w:val="1"/>
      <w:numFmt w:val="bullet"/>
      <w:lvlText w:val=""/>
      <w:lvlJc w:val="left"/>
      <w:pPr>
        <w:ind w:left="1426" w:hanging="360"/>
      </w:pPr>
      <w:rPr>
        <w:rFonts w:ascii="Symbol" w:hAnsi="Symbol" w:hint="default"/>
      </w:rPr>
    </w:lvl>
    <w:lvl w:ilvl="1" w:tplc="0402000D" w:tentative="1">
      <w:start w:val="1"/>
      <w:numFmt w:val="bullet"/>
      <w:lvlText w:val="o"/>
      <w:lvlJc w:val="left"/>
      <w:pPr>
        <w:ind w:left="2146" w:hanging="360"/>
      </w:pPr>
      <w:rPr>
        <w:rFonts w:ascii="Courier New" w:hAnsi="Courier New" w:cs="Courier New" w:hint="default"/>
      </w:rPr>
    </w:lvl>
    <w:lvl w:ilvl="2" w:tplc="BAB2C2CA" w:tentative="1">
      <w:start w:val="1"/>
      <w:numFmt w:val="bullet"/>
      <w:lvlText w:val=""/>
      <w:lvlJc w:val="left"/>
      <w:pPr>
        <w:ind w:left="2866" w:hanging="360"/>
      </w:pPr>
      <w:rPr>
        <w:rFonts w:ascii="Wingdings" w:hAnsi="Wingdings" w:hint="default"/>
      </w:rPr>
    </w:lvl>
    <w:lvl w:ilvl="3" w:tplc="35BA9BE6" w:tentative="1">
      <w:start w:val="1"/>
      <w:numFmt w:val="bullet"/>
      <w:lvlText w:val=""/>
      <w:lvlJc w:val="left"/>
      <w:pPr>
        <w:ind w:left="3586" w:hanging="360"/>
      </w:pPr>
      <w:rPr>
        <w:rFonts w:ascii="Symbol" w:hAnsi="Symbol" w:hint="default"/>
      </w:rPr>
    </w:lvl>
    <w:lvl w:ilvl="4" w:tplc="4ED23BA0" w:tentative="1">
      <w:start w:val="1"/>
      <w:numFmt w:val="bullet"/>
      <w:lvlText w:val="o"/>
      <w:lvlJc w:val="left"/>
      <w:pPr>
        <w:ind w:left="4306" w:hanging="360"/>
      </w:pPr>
      <w:rPr>
        <w:rFonts w:ascii="Courier New" w:hAnsi="Courier New" w:cs="Courier New" w:hint="default"/>
      </w:rPr>
    </w:lvl>
    <w:lvl w:ilvl="5" w:tplc="D51E7E9C" w:tentative="1">
      <w:start w:val="1"/>
      <w:numFmt w:val="bullet"/>
      <w:lvlText w:val=""/>
      <w:lvlJc w:val="left"/>
      <w:pPr>
        <w:ind w:left="5026" w:hanging="360"/>
      </w:pPr>
      <w:rPr>
        <w:rFonts w:ascii="Wingdings" w:hAnsi="Wingdings" w:hint="default"/>
      </w:rPr>
    </w:lvl>
    <w:lvl w:ilvl="6" w:tplc="93EC37D2" w:tentative="1">
      <w:start w:val="1"/>
      <w:numFmt w:val="bullet"/>
      <w:lvlText w:val=""/>
      <w:lvlJc w:val="left"/>
      <w:pPr>
        <w:ind w:left="5746" w:hanging="360"/>
      </w:pPr>
      <w:rPr>
        <w:rFonts w:ascii="Symbol" w:hAnsi="Symbol" w:hint="default"/>
      </w:rPr>
    </w:lvl>
    <w:lvl w:ilvl="7" w:tplc="D4BAA156" w:tentative="1">
      <w:start w:val="1"/>
      <w:numFmt w:val="bullet"/>
      <w:lvlText w:val="o"/>
      <w:lvlJc w:val="left"/>
      <w:pPr>
        <w:ind w:left="6466" w:hanging="360"/>
      </w:pPr>
      <w:rPr>
        <w:rFonts w:ascii="Courier New" w:hAnsi="Courier New" w:cs="Courier New" w:hint="default"/>
      </w:rPr>
    </w:lvl>
    <w:lvl w:ilvl="8" w:tplc="FD22A23A" w:tentative="1">
      <w:start w:val="1"/>
      <w:numFmt w:val="bullet"/>
      <w:lvlText w:val=""/>
      <w:lvlJc w:val="left"/>
      <w:pPr>
        <w:ind w:left="7186" w:hanging="360"/>
      </w:pPr>
      <w:rPr>
        <w:rFonts w:ascii="Wingdings" w:hAnsi="Wingdings" w:hint="default"/>
      </w:rPr>
    </w:lvl>
  </w:abstractNum>
  <w:abstractNum w:abstractNumId="3" w15:restartNumberingAfterBreak="0">
    <w:nsid w:val="7DFC00D8"/>
    <w:multiLevelType w:val="multilevel"/>
    <w:tmpl w:val="2DC65DF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3F12"/>
    <w:rsid w:val="00174984"/>
    <w:rsid w:val="008F3F12"/>
    <w:rsid w:val="00F7015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7"/>
    <o:shapelayout v:ext="edit">
      <o:idmap v:ext="edit" data="1"/>
    </o:shapelayout>
  </w:shapeDefaults>
  <w:decimalSymbol w:val="."/>
  <w:listSeparator w:val=";"/>
  <w14:docId w14:val="0CF41C88"/>
  <w15:chartTrackingRefBased/>
  <w15:docId w15:val="{3E710A50-2503-4893-9CE1-3A23D709F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F12"/>
    <w:pPr>
      <w:spacing w:after="0" w:line="240" w:lineRule="auto"/>
    </w:pPr>
    <w:rPr>
      <w:rFonts w:ascii="Times New Roman" w:eastAsia="Times New Roman" w:hAnsi="Times New Roman" w:cs="Times New Roman"/>
      <w:sz w:val="24"/>
      <w:szCs w:val="24"/>
      <w:lan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8F3F12"/>
    <w:rPr>
      <w:b/>
      <w:bCs/>
    </w:rPr>
  </w:style>
  <w:style w:type="character" w:customStyle="1" w:styleId="apple-converted-space">
    <w:name w:val="apple-converted-space"/>
    <w:basedOn w:val="a0"/>
    <w:rsid w:val="008F3F12"/>
  </w:style>
  <w:style w:type="table" w:styleId="a4">
    <w:name w:val="Table Grid"/>
    <w:basedOn w:val="a1"/>
    <w:rsid w:val="008F3F12"/>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rsid w:val="008F3F12"/>
    <w:rPr>
      <w:color w:val="0000FF"/>
      <w:u w:val="single"/>
    </w:rPr>
  </w:style>
  <w:style w:type="paragraph" w:styleId="a6">
    <w:name w:val="List Paragraph"/>
    <w:basedOn w:val="a"/>
    <w:uiPriority w:val="34"/>
    <w:qFormat/>
    <w:rsid w:val="008F3F12"/>
    <w:pPr>
      <w:ind w:left="720"/>
      <w:contextualSpacing/>
    </w:pPr>
  </w:style>
  <w:style w:type="paragraph" w:styleId="a7">
    <w:name w:val="Normal (Web)"/>
    <w:basedOn w:val="a"/>
    <w:rsid w:val="008F3F1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ngurlare.org/" TargetMode="External"/><Relationship Id="rId3" Type="http://schemas.openxmlformats.org/officeDocument/2006/relationships/settings" Target="settings.xml"/><Relationship Id="rId7" Type="http://schemas.openxmlformats.org/officeDocument/2006/relationships/hyperlink" Target="http://ruo-varna.bg/images/files/2017/mehanizam-373679.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8583</Words>
  <Characters>48924</Characters>
  <Application>Microsoft Office Word</Application>
  <DocSecurity>0</DocSecurity>
  <Lines>407</Lines>
  <Paragraphs>114</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57393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cp:lastModifiedBy>
  <cp:revision>3</cp:revision>
  <dcterms:created xsi:type="dcterms:W3CDTF">2019-04-12T13:23:00Z</dcterms:created>
  <dcterms:modified xsi:type="dcterms:W3CDTF">2019-04-12T13:48:00Z</dcterms:modified>
</cp:coreProperties>
</file>