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8E" w:rsidRPr="00C370DE" w:rsidRDefault="0064668E" w:rsidP="00C370DE">
      <w:pPr>
        <w:rPr>
          <w:rFonts w:ascii="Times New Roman" w:hAnsi="Times New Roman"/>
          <w:b/>
          <w:sz w:val="28"/>
          <w:szCs w:val="28"/>
          <w:lang w:val="en-US"/>
        </w:rPr>
      </w:pPr>
    </w:p>
    <w:p w:rsidR="0064668E" w:rsidRPr="00C370DE" w:rsidRDefault="0064668E" w:rsidP="00B83239">
      <w:pPr>
        <w:jc w:val="center"/>
        <w:rPr>
          <w:rFonts w:ascii="Times New Roman" w:hAnsi="Times New Roman"/>
          <w:b/>
          <w:sz w:val="28"/>
          <w:szCs w:val="28"/>
        </w:rPr>
      </w:pPr>
    </w:p>
    <w:p w:rsidR="0064668E" w:rsidRPr="00C370DE" w:rsidRDefault="0064668E" w:rsidP="005B4751">
      <w:pPr>
        <w:ind w:left="5940" w:hanging="5580"/>
        <w:jc w:val="center"/>
        <w:rPr>
          <w:rFonts w:ascii="Times New Roman" w:hAnsi="Times New Roman"/>
          <w:b/>
          <w:bCs/>
          <w:lang w:val="ru-RU"/>
        </w:rPr>
      </w:pPr>
      <w:r>
        <w:rPr>
          <w:noProof/>
          <w:lang w:eastAsia="bg-BG"/>
        </w:rPr>
        <w:pict>
          <v:shapetype id="_x0000_t202" coordsize="21600,21600" o:spt="202" path="m,l,21600r21600,l21600,xe">
            <v:stroke joinstyle="miter"/>
            <v:path gradientshapeok="t" o:connecttype="rect"/>
          </v:shapetype>
          <v:shape id="_x0000_s1026" type="#_x0000_t202" style="position:absolute;left:0;text-align:left;margin-left:18pt;margin-top:-36pt;width:477pt;height:63pt;z-index:251658240" filled="f" stroked="f">
            <v:textbox style="mso-next-textbox:#_x0000_s1026">
              <w:txbxContent>
                <w:p w:rsidR="0064668E" w:rsidRDefault="0064668E" w:rsidP="005B4751">
                  <w:pPr>
                    <w:ind w:left="180"/>
                    <w:jc w:val="center"/>
                    <w:rPr>
                      <w:b/>
                      <w:sz w:val="64"/>
                      <w:szCs w:val="64"/>
                    </w:rPr>
                  </w:pPr>
                  <w:r>
                    <w:rPr>
                      <w:b/>
                      <w:sz w:val="64"/>
                      <w:szCs w:val="64"/>
                    </w:rPr>
                    <w:t>ОБЩИНА СУНГУРЛАРЕ</w:t>
                  </w:r>
                </w:p>
              </w:txbxContent>
            </v:textbox>
          </v:shape>
        </w:pict>
      </w: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36pt;width:77.4pt;height:81pt;z-index:-251657216" fillcolor="#0c9">
            <v:imagedata r:id="rId4" o:title="" gain="79922f" blacklevel="1966f"/>
          </v:shape>
          <o:OLEObject Type="Embed" ProgID="PBrush" ShapeID="_x0000_s1027" DrawAspect="Content" ObjectID="_1548055942" r:id="rId5"/>
        </w:pict>
      </w:r>
      <w:r w:rsidRPr="00C370DE">
        <w:rPr>
          <w:rFonts w:ascii="Times New Roman" w:hAnsi="Times New Roman"/>
          <w:b/>
          <w:bCs/>
          <w:lang w:val="ru-RU"/>
        </w:rPr>
        <w:t xml:space="preserve">   </w:t>
      </w:r>
    </w:p>
    <w:p w:rsidR="0064668E" w:rsidRPr="00C370DE" w:rsidRDefault="0064668E" w:rsidP="005B4751">
      <w:pPr>
        <w:ind w:left="5940" w:hanging="5580"/>
        <w:jc w:val="center"/>
        <w:rPr>
          <w:rFonts w:ascii="Times New Roman" w:hAnsi="Times New Roman"/>
          <w:b/>
          <w:bCs/>
        </w:rPr>
      </w:pPr>
      <w:r>
        <w:rPr>
          <w:noProof/>
          <w:lang w:eastAsia="bg-BG"/>
        </w:rPr>
        <w:pict>
          <v:line id="_x0000_s1028" style="position:absolute;left:0;text-align:left;z-index:251660288" from="36pt,4.2pt" to="495pt,4.2pt" strokeweight="6pt">
            <v:stroke linestyle="thickBetweenThin"/>
          </v:line>
        </w:pict>
      </w:r>
    </w:p>
    <w:p w:rsidR="0064668E" w:rsidRPr="00C370DE" w:rsidRDefault="0064668E" w:rsidP="005B4751">
      <w:pPr>
        <w:jc w:val="center"/>
        <w:rPr>
          <w:rFonts w:ascii="Times New Roman" w:hAnsi="Times New Roman"/>
          <w:b/>
        </w:rPr>
      </w:pPr>
      <w:r w:rsidRPr="00C370DE">
        <w:rPr>
          <w:rFonts w:ascii="Times New Roman" w:hAnsi="Times New Roman"/>
          <w:b/>
        </w:rPr>
        <w:t>гр.Сунгурларе, обл. Бургас, ул. „Георги Димитров”№2</w:t>
      </w:r>
    </w:p>
    <w:p w:rsidR="0064668E" w:rsidRPr="00C370DE" w:rsidRDefault="0064668E" w:rsidP="005B4751">
      <w:pPr>
        <w:jc w:val="center"/>
        <w:rPr>
          <w:rFonts w:ascii="Times New Roman" w:hAnsi="Times New Roman"/>
          <w:b/>
        </w:rPr>
      </w:pPr>
      <w:r w:rsidRPr="00C370DE">
        <w:rPr>
          <w:rFonts w:ascii="Times New Roman" w:hAnsi="Times New Roman"/>
          <w:b/>
        </w:rPr>
        <w:t xml:space="preserve">Тел.05571/5063; факс 5585; </w:t>
      </w:r>
      <w:r w:rsidRPr="00C370DE">
        <w:rPr>
          <w:rFonts w:ascii="Times New Roman" w:hAnsi="Times New Roman"/>
          <w:b/>
          <w:lang w:val="en-US"/>
        </w:rPr>
        <w:t>e</w:t>
      </w:r>
      <w:r w:rsidRPr="00C370DE">
        <w:rPr>
          <w:rFonts w:ascii="Times New Roman" w:hAnsi="Times New Roman"/>
          <w:b/>
        </w:rPr>
        <w:t>-</w:t>
      </w:r>
      <w:r w:rsidRPr="00C370DE">
        <w:rPr>
          <w:rFonts w:ascii="Times New Roman" w:hAnsi="Times New Roman"/>
          <w:b/>
          <w:lang w:val="en-US"/>
        </w:rPr>
        <w:t>mail</w:t>
      </w:r>
      <w:r w:rsidRPr="00C370DE">
        <w:rPr>
          <w:rFonts w:ascii="Times New Roman" w:hAnsi="Times New Roman"/>
          <w:b/>
        </w:rPr>
        <w:t xml:space="preserve"> – </w:t>
      </w:r>
      <w:hyperlink r:id="rId6" w:history="1">
        <w:r w:rsidRPr="00C370DE">
          <w:rPr>
            <w:rStyle w:val="Hyperlink"/>
            <w:rFonts w:ascii="Times New Roman" w:hAnsi="Times New Roman"/>
            <w:b/>
            <w:lang w:val="en-US"/>
          </w:rPr>
          <w:t>kmetsungurlare</w:t>
        </w:r>
        <w:r w:rsidRPr="00C370DE">
          <w:rPr>
            <w:rStyle w:val="Hyperlink"/>
            <w:rFonts w:ascii="Times New Roman" w:hAnsi="Times New Roman"/>
            <w:b/>
          </w:rPr>
          <w:t>@</w:t>
        </w:r>
        <w:r w:rsidRPr="00C370DE">
          <w:rPr>
            <w:rStyle w:val="Hyperlink"/>
            <w:rFonts w:ascii="Times New Roman" w:hAnsi="Times New Roman"/>
            <w:b/>
            <w:lang w:val="en-US"/>
          </w:rPr>
          <w:t>abv</w:t>
        </w:r>
        <w:r w:rsidRPr="00C370DE">
          <w:rPr>
            <w:rStyle w:val="Hyperlink"/>
            <w:rFonts w:ascii="Times New Roman" w:hAnsi="Times New Roman"/>
            <w:b/>
          </w:rPr>
          <w:t>.</w:t>
        </w:r>
        <w:r w:rsidRPr="00C370DE">
          <w:rPr>
            <w:rStyle w:val="Hyperlink"/>
            <w:rFonts w:ascii="Times New Roman" w:hAnsi="Times New Roman"/>
            <w:b/>
            <w:lang w:val="en-US"/>
          </w:rPr>
          <w:t>bg</w:t>
        </w:r>
      </w:hyperlink>
    </w:p>
    <w:p w:rsidR="0064668E" w:rsidRDefault="0064668E" w:rsidP="005B4751">
      <w:pPr>
        <w:rPr>
          <w:rFonts w:ascii="Times New Roman" w:hAnsi="Times New Roman"/>
          <w:b/>
          <w:sz w:val="28"/>
          <w:szCs w:val="28"/>
        </w:rPr>
      </w:pPr>
    </w:p>
    <w:p w:rsidR="0064668E" w:rsidRPr="00B83239" w:rsidRDefault="0064668E" w:rsidP="00B83239">
      <w:pPr>
        <w:jc w:val="center"/>
        <w:rPr>
          <w:rFonts w:ascii="Times New Roman" w:hAnsi="Times New Roman"/>
          <w:b/>
          <w:sz w:val="28"/>
          <w:szCs w:val="28"/>
        </w:rPr>
      </w:pPr>
      <w:r w:rsidRPr="00B83239">
        <w:rPr>
          <w:rFonts w:ascii="Times New Roman" w:hAnsi="Times New Roman"/>
          <w:b/>
          <w:sz w:val="28"/>
          <w:szCs w:val="28"/>
        </w:rPr>
        <w:t>ГОДИШЕН ДОКЛАД ЗА МЛАДЕЖТА 2016 ГОДИНА</w:t>
      </w:r>
    </w:p>
    <w:p w:rsidR="0064668E" w:rsidRPr="00FA24AD" w:rsidRDefault="0064668E" w:rsidP="00A65960">
      <w:pPr>
        <w:jc w:val="both"/>
        <w:rPr>
          <w:rFonts w:ascii="Times New Roman" w:hAnsi="Times New Roman"/>
          <w:lang w:val="ru-RU"/>
        </w:rPr>
      </w:pPr>
    </w:p>
    <w:p w:rsidR="0064668E" w:rsidRDefault="0064668E" w:rsidP="00B83239">
      <w:pPr>
        <w:ind w:firstLine="708"/>
        <w:jc w:val="both"/>
        <w:rPr>
          <w:rFonts w:ascii="Times New Roman" w:hAnsi="Times New Roman"/>
          <w:sz w:val="24"/>
          <w:szCs w:val="24"/>
        </w:rPr>
      </w:pPr>
      <w:r w:rsidRPr="00B83239">
        <w:rPr>
          <w:rFonts w:ascii="Times New Roman" w:hAnsi="Times New Roman"/>
          <w:sz w:val="24"/>
          <w:szCs w:val="24"/>
        </w:rPr>
        <w:t>Годишният доклад за младежта се изготвя на основание чл. 5, ал. 2 от Закона за</w:t>
      </w:r>
      <w:r w:rsidRPr="00B83239">
        <w:rPr>
          <w:rFonts w:ascii="Times New Roman" w:hAnsi="Times New Roman"/>
          <w:sz w:val="24"/>
          <w:szCs w:val="24"/>
          <w:lang w:val="ru-RU"/>
        </w:rPr>
        <w:t xml:space="preserve"> </w:t>
      </w:r>
      <w:r w:rsidRPr="00B83239">
        <w:rPr>
          <w:rFonts w:ascii="Times New Roman" w:hAnsi="Times New Roman"/>
          <w:sz w:val="24"/>
          <w:szCs w:val="24"/>
        </w:rPr>
        <w:t>младежта,</w:t>
      </w:r>
      <w:r w:rsidRPr="00B83239">
        <w:rPr>
          <w:rFonts w:ascii="Times New Roman" w:hAnsi="Times New Roman"/>
          <w:sz w:val="24"/>
          <w:szCs w:val="24"/>
          <w:lang w:val="ru-RU"/>
        </w:rPr>
        <w:t xml:space="preserve"> </w:t>
      </w:r>
      <w:r w:rsidRPr="00B83239">
        <w:rPr>
          <w:rFonts w:ascii="Times New Roman" w:hAnsi="Times New Roman"/>
          <w:sz w:val="24"/>
          <w:szCs w:val="24"/>
        </w:rPr>
        <w:t xml:space="preserve">приет от Народното събрание на 5 април </w:t>
      </w:r>
      <w:smartTag w:uri="urn:schemas-microsoft-com:office:smarttags" w:element="metricconverter">
        <w:smartTagPr>
          <w:attr w:name="ProductID" w:val="2012 г"/>
        </w:smartTagPr>
        <w:r w:rsidRPr="00B83239">
          <w:rPr>
            <w:rFonts w:ascii="Times New Roman" w:hAnsi="Times New Roman"/>
            <w:sz w:val="24"/>
            <w:szCs w:val="24"/>
          </w:rPr>
          <w:t>2012 г</w:t>
        </w:r>
      </w:smartTag>
      <w:r w:rsidRPr="00B83239">
        <w:rPr>
          <w:rFonts w:ascii="Times New Roman" w:hAnsi="Times New Roman"/>
          <w:sz w:val="24"/>
          <w:szCs w:val="24"/>
        </w:rPr>
        <w:t>. (Обн. - ДВ, бр. 31 от</w:t>
      </w:r>
      <w:r w:rsidRPr="00B83239">
        <w:rPr>
          <w:rFonts w:ascii="Times New Roman" w:hAnsi="Times New Roman"/>
          <w:sz w:val="24"/>
          <w:szCs w:val="24"/>
          <w:lang w:val="ru-RU"/>
        </w:rPr>
        <w:t xml:space="preserve"> </w:t>
      </w:r>
      <w:r w:rsidRPr="00B83239">
        <w:rPr>
          <w:rFonts w:ascii="Times New Roman" w:hAnsi="Times New Roman"/>
          <w:sz w:val="24"/>
          <w:szCs w:val="24"/>
        </w:rPr>
        <w:t>20.04.2012 г.).</w:t>
      </w:r>
    </w:p>
    <w:p w:rsidR="0064668E" w:rsidRPr="00B83239" w:rsidRDefault="0064668E" w:rsidP="00B83239">
      <w:pPr>
        <w:ind w:firstLine="708"/>
        <w:jc w:val="both"/>
        <w:rPr>
          <w:rFonts w:ascii="Times New Roman" w:hAnsi="Times New Roman"/>
          <w:sz w:val="24"/>
          <w:szCs w:val="24"/>
        </w:rPr>
      </w:pPr>
      <w:r w:rsidRPr="00B83239">
        <w:rPr>
          <w:rFonts w:ascii="Times New Roman" w:hAnsi="Times New Roman"/>
          <w:sz w:val="24"/>
          <w:szCs w:val="24"/>
        </w:rPr>
        <w:t>Целта на доклада е да се представи информация за състоянието на младежта в</w:t>
      </w:r>
      <w:r w:rsidRPr="00B83239">
        <w:rPr>
          <w:rFonts w:ascii="Times New Roman" w:hAnsi="Times New Roman"/>
          <w:sz w:val="24"/>
          <w:szCs w:val="24"/>
          <w:lang w:val="ru-RU"/>
        </w:rPr>
        <w:t xml:space="preserve"> </w:t>
      </w:r>
      <w:r w:rsidRPr="00B83239">
        <w:rPr>
          <w:rFonts w:ascii="Times New Roman" w:hAnsi="Times New Roman"/>
          <w:sz w:val="24"/>
          <w:szCs w:val="24"/>
        </w:rPr>
        <w:t>община Сунгурларе  и предприетите мерки от страна на отговорните институции</w:t>
      </w:r>
      <w:r w:rsidRPr="00B83239">
        <w:rPr>
          <w:rFonts w:ascii="Times New Roman" w:hAnsi="Times New Roman"/>
          <w:sz w:val="24"/>
          <w:szCs w:val="24"/>
          <w:lang w:val="ru-RU"/>
        </w:rPr>
        <w:t xml:space="preserve"> </w:t>
      </w:r>
      <w:r w:rsidRPr="00B83239">
        <w:rPr>
          <w:rFonts w:ascii="Times New Roman" w:hAnsi="Times New Roman"/>
          <w:sz w:val="24"/>
          <w:szCs w:val="24"/>
        </w:rPr>
        <w:t xml:space="preserve">  в изпълнение на</w:t>
      </w:r>
      <w:r w:rsidRPr="00B83239">
        <w:rPr>
          <w:rFonts w:ascii="Times New Roman" w:hAnsi="Times New Roman"/>
          <w:sz w:val="24"/>
          <w:szCs w:val="24"/>
          <w:lang w:val="ru-RU"/>
        </w:rPr>
        <w:t xml:space="preserve"> </w:t>
      </w:r>
      <w:r w:rsidRPr="00B83239">
        <w:rPr>
          <w:rFonts w:ascii="Times New Roman" w:hAnsi="Times New Roman"/>
          <w:sz w:val="24"/>
          <w:szCs w:val="24"/>
        </w:rPr>
        <w:t>целите на държавната политика за младежта.</w:t>
      </w:r>
    </w:p>
    <w:p w:rsidR="0064668E" w:rsidRPr="00B83239" w:rsidRDefault="0064668E" w:rsidP="00A65960">
      <w:pPr>
        <w:ind w:firstLine="708"/>
        <w:jc w:val="both"/>
        <w:rPr>
          <w:rFonts w:ascii="Times New Roman" w:hAnsi="Times New Roman"/>
          <w:sz w:val="24"/>
          <w:szCs w:val="24"/>
        </w:rPr>
      </w:pPr>
      <w:r w:rsidRPr="00B83239">
        <w:rPr>
          <w:rFonts w:ascii="Times New Roman" w:hAnsi="Times New Roman"/>
          <w:sz w:val="24"/>
          <w:szCs w:val="24"/>
        </w:rPr>
        <w:t>Структурата на доклада е съобразена с основните приоритети на политиката за</w:t>
      </w:r>
      <w:r w:rsidRPr="00B83239">
        <w:rPr>
          <w:rFonts w:ascii="Times New Roman" w:hAnsi="Times New Roman"/>
          <w:sz w:val="24"/>
          <w:szCs w:val="24"/>
          <w:lang w:val="ru-RU"/>
        </w:rPr>
        <w:t xml:space="preserve"> </w:t>
      </w:r>
      <w:r w:rsidRPr="00B83239">
        <w:rPr>
          <w:rFonts w:ascii="Times New Roman" w:hAnsi="Times New Roman"/>
          <w:sz w:val="24"/>
          <w:szCs w:val="24"/>
        </w:rPr>
        <w:t>младите хора в общината, залегнали в Националната стратегия за младежта (2010-2020) -насърчаване на</w:t>
      </w:r>
      <w:r w:rsidRPr="00B83239">
        <w:rPr>
          <w:rFonts w:ascii="Times New Roman" w:hAnsi="Times New Roman"/>
          <w:sz w:val="24"/>
          <w:szCs w:val="24"/>
          <w:lang w:val="ru-RU"/>
        </w:rPr>
        <w:t xml:space="preserve"> </w:t>
      </w:r>
      <w:r w:rsidRPr="00B83239">
        <w:rPr>
          <w:rFonts w:ascii="Times New Roman" w:hAnsi="Times New Roman"/>
          <w:sz w:val="24"/>
          <w:szCs w:val="24"/>
        </w:rPr>
        <w:t>икономическата активност и кариерното развитие на младите хора, подобряване на достъпа до информация и качествени услуги, насърчаване на</w:t>
      </w:r>
      <w:r w:rsidRPr="00B83239">
        <w:rPr>
          <w:rFonts w:ascii="Times New Roman" w:hAnsi="Times New Roman"/>
          <w:sz w:val="24"/>
          <w:szCs w:val="24"/>
          <w:lang w:val="ru-RU"/>
        </w:rPr>
        <w:t xml:space="preserve"> </w:t>
      </w:r>
      <w:r w:rsidRPr="00B83239">
        <w:rPr>
          <w:rFonts w:ascii="Times New Roman" w:hAnsi="Times New Roman"/>
          <w:sz w:val="24"/>
          <w:szCs w:val="24"/>
        </w:rPr>
        <w:t>здравословния начин на живот, превенция на социалното изключване на млади хора в</w:t>
      </w:r>
      <w:r w:rsidRPr="00B83239">
        <w:rPr>
          <w:rFonts w:ascii="Times New Roman" w:hAnsi="Times New Roman"/>
          <w:sz w:val="24"/>
          <w:szCs w:val="24"/>
          <w:lang w:val="ru-RU"/>
        </w:rPr>
        <w:t xml:space="preserve"> </w:t>
      </w:r>
      <w:r w:rsidRPr="00B83239">
        <w:rPr>
          <w:rFonts w:ascii="Times New Roman" w:hAnsi="Times New Roman"/>
          <w:sz w:val="24"/>
          <w:szCs w:val="24"/>
        </w:rPr>
        <w:t>неравностойно положение, развитие на младежкото доброволчество, повишаване на</w:t>
      </w:r>
      <w:r w:rsidRPr="00B83239">
        <w:rPr>
          <w:rFonts w:ascii="Times New Roman" w:hAnsi="Times New Roman"/>
          <w:sz w:val="24"/>
          <w:szCs w:val="24"/>
          <w:lang w:val="ru-RU"/>
        </w:rPr>
        <w:t xml:space="preserve"> </w:t>
      </w:r>
      <w:r w:rsidRPr="00B83239">
        <w:rPr>
          <w:rFonts w:ascii="Times New Roman" w:hAnsi="Times New Roman"/>
          <w:sz w:val="24"/>
          <w:szCs w:val="24"/>
        </w:rPr>
        <w:t>гражданската активност, развитие на младите хора в малките населени места и селските</w:t>
      </w:r>
      <w:r w:rsidRPr="00B83239">
        <w:rPr>
          <w:rFonts w:ascii="Times New Roman" w:hAnsi="Times New Roman"/>
          <w:sz w:val="24"/>
          <w:szCs w:val="24"/>
          <w:lang w:val="ru-RU"/>
        </w:rPr>
        <w:t xml:space="preserve"> </w:t>
      </w:r>
      <w:r w:rsidRPr="00B83239">
        <w:rPr>
          <w:rFonts w:ascii="Times New Roman" w:hAnsi="Times New Roman"/>
          <w:sz w:val="24"/>
          <w:szCs w:val="24"/>
        </w:rPr>
        <w:t>райони, развитие на международния и междукултурния диалог и повишаване на ролята</w:t>
      </w:r>
      <w:r w:rsidRPr="00B83239">
        <w:rPr>
          <w:rFonts w:ascii="Times New Roman" w:hAnsi="Times New Roman"/>
          <w:sz w:val="24"/>
          <w:szCs w:val="24"/>
          <w:lang w:val="ru-RU"/>
        </w:rPr>
        <w:t xml:space="preserve"> </w:t>
      </w:r>
      <w:r w:rsidRPr="00B83239">
        <w:rPr>
          <w:rFonts w:ascii="Times New Roman" w:hAnsi="Times New Roman"/>
          <w:sz w:val="24"/>
          <w:szCs w:val="24"/>
        </w:rPr>
        <w:t>на младите хора в превенцията на престъпността.</w:t>
      </w:r>
    </w:p>
    <w:p w:rsidR="0064668E" w:rsidRPr="00B83239" w:rsidRDefault="0064668E" w:rsidP="005F50A7">
      <w:pPr>
        <w:ind w:firstLine="708"/>
        <w:rPr>
          <w:rFonts w:ascii="Times New Roman" w:hAnsi="Times New Roman"/>
          <w:sz w:val="24"/>
          <w:szCs w:val="24"/>
        </w:rPr>
      </w:pPr>
      <w:r w:rsidRPr="00B83239">
        <w:rPr>
          <w:rFonts w:ascii="Times New Roman" w:hAnsi="Times New Roman"/>
          <w:sz w:val="24"/>
          <w:szCs w:val="24"/>
        </w:rPr>
        <w:t>Докладът е изготвен на базата на обобщена информация от всички</w:t>
      </w:r>
      <w:r w:rsidRPr="00B83239">
        <w:rPr>
          <w:rFonts w:ascii="Times New Roman" w:hAnsi="Times New Roman"/>
          <w:sz w:val="24"/>
          <w:szCs w:val="24"/>
          <w:lang w:val="ru-RU"/>
        </w:rPr>
        <w:t xml:space="preserve"> </w:t>
      </w:r>
      <w:r w:rsidRPr="00B83239">
        <w:rPr>
          <w:rFonts w:ascii="Times New Roman" w:hAnsi="Times New Roman"/>
          <w:sz w:val="24"/>
          <w:szCs w:val="24"/>
        </w:rPr>
        <w:t>институции, чиято</w:t>
      </w:r>
      <w:r w:rsidRPr="00B83239">
        <w:rPr>
          <w:rFonts w:ascii="Times New Roman" w:hAnsi="Times New Roman"/>
          <w:sz w:val="24"/>
          <w:szCs w:val="24"/>
          <w:lang w:val="ru-RU"/>
        </w:rPr>
        <w:t xml:space="preserve">  </w:t>
      </w:r>
      <w:r w:rsidRPr="00B83239">
        <w:rPr>
          <w:rFonts w:ascii="Times New Roman" w:hAnsi="Times New Roman"/>
          <w:sz w:val="24"/>
          <w:szCs w:val="24"/>
        </w:rPr>
        <w:t>дейност има отражение върху живота на младите хора в община Сунгурларе.</w:t>
      </w:r>
    </w:p>
    <w:p w:rsidR="0064668E" w:rsidRDefault="0064668E" w:rsidP="005F50A7">
      <w:pPr>
        <w:ind w:firstLine="708"/>
        <w:rPr>
          <w:rFonts w:ascii="Times New Roman" w:hAnsi="Times New Roman"/>
          <w:b/>
          <w:sz w:val="24"/>
          <w:szCs w:val="24"/>
        </w:rPr>
      </w:pPr>
      <w:r w:rsidRPr="00B83239">
        <w:rPr>
          <w:rFonts w:ascii="Times New Roman" w:hAnsi="Times New Roman"/>
          <w:b/>
          <w:sz w:val="24"/>
          <w:szCs w:val="24"/>
        </w:rPr>
        <w:t>НАСЕЛЕНИЕ И ДЕМОГРАФСКИ ПРОЦЕСИ ПРЕЗ 2016Г.</w:t>
      </w:r>
    </w:p>
    <w:p w:rsidR="0064668E" w:rsidRPr="00B83239" w:rsidRDefault="0064668E" w:rsidP="00A65960">
      <w:pPr>
        <w:jc w:val="both"/>
        <w:rPr>
          <w:rFonts w:ascii="Times New Roman" w:hAnsi="Times New Roman"/>
          <w:b/>
          <w:sz w:val="24"/>
          <w:szCs w:val="24"/>
        </w:rPr>
      </w:pPr>
      <w:r w:rsidRPr="00B83239">
        <w:rPr>
          <w:rFonts w:ascii="Times New Roman" w:hAnsi="Times New Roman"/>
          <w:b/>
          <w:sz w:val="24"/>
          <w:szCs w:val="24"/>
        </w:rPr>
        <w:t>I. Брой и структура на населението</w:t>
      </w:r>
    </w:p>
    <w:p w:rsidR="0064668E" w:rsidRPr="00B83239" w:rsidRDefault="0064668E" w:rsidP="00A65960">
      <w:pPr>
        <w:ind w:firstLine="708"/>
        <w:jc w:val="both"/>
        <w:rPr>
          <w:rFonts w:ascii="Times New Roman" w:hAnsi="Times New Roman"/>
          <w:sz w:val="24"/>
          <w:szCs w:val="24"/>
        </w:rPr>
      </w:pPr>
      <w:r w:rsidRPr="00B83239">
        <w:rPr>
          <w:rFonts w:ascii="Times New Roman" w:hAnsi="Times New Roman"/>
          <w:sz w:val="24"/>
          <w:szCs w:val="24"/>
        </w:rPr>
        <w:t>Текущата демографска ситуация в Община Сунгурларе се характеризира с продължаващо намаляване и застаряване на населението и задържащо се високо равнище на общата и детската смъртност.</w:t>
      </w:r>
    </w:p>
    <w:p w:rsidR="0064668E" w:rsidRPr="00B83239" w:rsidRDefault="0064668E" w:rsidP="00A65960">
      <w:pPr>
        <w:jc w:val="both"/>
        <w:rPr>
          <w:rFonts w:ascii="Times New Roman" w:hAnsi="Times New Roman"/>
          <w:sz w:val="24"/>
          <w:szCs w:val="24"/>
        </w:rPr>
      </w:pPr>
      <w:r w:rsidRPr="00B83239">
        <w:rPr>
          <w:rFonts w:ascii="Times New Roman" w:hAnsi="Times New Roman"/>
          <w:sz w:val="24"/>
          <w:szCs w:val="24"/>
        </w:rPr>
        <w:t xml:space="preserve">Към 31 декември </w:t>
      </w:r>
      <w:smartTag w:uri="urn:schemas-microsoft-com:office:smarttags" w:element="metricconverter">
        <w:smartTagPr>
          <w:attr w:name="ProductID" w:val="2015 г"/>
        </w:smartTagPr>
        <w:r w:rsidRPr="00B83239">
          <w:rPr>
            <w:rFonts w:ascii="Times New Roman" w:hAnsi="Times New Roman"/>
            <w:sz w:val="24"/>
            <w:szCs w:val="24"/>
          </w:rPr>
          <w:t>2015</w:t>
        </w:r>
        <w:r w:rsidRPr="00B83239">
          <w:rPr>
            <w:rFonts w:ascii="Times New Roman" w:hAnsi="Times New Roman"/>
            <w:color w:val="FF0000"/>
            <w:sz w:val="24"/>
            <w:szCs w:val="24"/>
          </w:rPr>
          <w:t xml:space="preserve"> </w:t>
        </w:r>
        <w:r w:rsidRPr="00B83239">
          <w:rPr>
            <w:rFonts w:ascii="Times New Roman" w:hAnsi="Times New Roman"/>
            <w:sz w:val="24"/>
            <w:szCs w:val="24"/>
          </w:rPr>
          <w:t>г</w:t>
        </w:r>
      </w:smartTag>
      <w:r w:rsidRPr="00B83239">
        <w:rPr>
          <w:rFonts w:ascii="Times New Roman" w:hAnsi="Times New Roman"/>
          <w:sz w:val="24"/>
          <w:szCs w:val="24"/>
        </w:rPr>
        <w:t xml:space="preserve">. населението на България е 7 202 198 души, което представлява 1.4% от населението на Европейския съюз и нарежда страната ни на 16-то място по брой на населението, непосредствено след Австрия (8 507 хил. души) и преди Дания (5 627 хил. души). </w:t>
      </w:r>
    </w:p>
    <w:p w:rsidR="0064668E" w:rsidRPr="00B83239" w:rsidRDefault="0064668E" w:rsidP="00B83239">
      <w:pPr>
        <w:ind w:firstLine="708"/>
        <w:jc w:val="both"/>
        <w:rPr>
          <w:rFonts w:ascii="Times New Roman" w:hAnsi="Times New Roman"/>
          <w:sz w:val="24"/>
          <w:szCs w:val="24"/>
        </w:rPr>
      </w:pPr>
      <w:r w:rsidRPr="00B83239">
        <w:rPr>
          <w:rFonts w:ascii="Times New Roman" w:hAnsi="Times New Roman"/>
          <w:sz w:val="24"/>
          <w:szCs w:val="24"/>
        </w:rPr>
        <w:t>Според информация, получена от ГРАО - Сунгурларе населението на Община Сунгурларе към 15.12.16г. п</w:t>
      </w:r>
      <w:r>
        <w:rPr>
          <w:rFonts w:ascii="Times New Roman" w:hAnsi="Times New Roman"/>
          <w:sz w:val="24"/>
          <w:szCs w:val="24"/>
        </w:rPr>
        <w:t>о постоянен адрес  е 13360 души</w:t>
      </w:r>
      <w:r w:rsidRPr="00B83239">
        <w:rPr>
          <w:rFonts w:ascii="Times New Roman" w:hAnsi="Times New Roman"/>
          <w:sz w:val="24"/>
          <w:szCs w:val="24"/>
        </w:rPr>
        <w:t xml:space="preserve">, а по настоящ адрес 12105. </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2324"/>
        <w:gridCol w:w="2324"/>
        <w:gridCol w:w="2327"/>
      </w:tblGrid>
      <w:tr w:rsidR="0064668E" w:rsidRPr="00B83239" w:rsidTr="00292A7A">
        <w:trPr>
          <w:trHeight w:val="484"/>
        </w:trPr>
        <w:tc>
          <w:tcPr>
            <w:tcW w:w="9299" w:type="dxa"/>
            <w:gridSpan w:val="4"/>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Таблица на населението по постоянен адрес за община Сунгурларе по възрасти</w:t>
            </w:r>
          </w:p>
        </w:tc>
      </w:tr>
      <w:tr w:rsidR="0064668E" w:rsidRPr="00B83239" w:rsidTr="00292A7A">
        <w:trPr>
          <w:trHeight w:val="495"/>
        </w:trPr>
        <w:tc>
          <w:tcPr>
            <w:tcW w:w="2324" w:type="dxa"/>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от 15 до 19</w:t>
            </w:r>
          </w:p>
        </w:tc>
        <w:tc>
          <w:tcPr>
            <w:tcW w:w="2324" w:type="dxa"/>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от 20 до 24</w:t>
            </w:r>
          </w:p>
        </w:tc>
        <w:tc>
          <w:tcPr>
            <w:tcW w:w="2324" w:type="dxa"/>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от 25 до 29</w:t>
            </w:r>
          </w:p>
        </w:tc>
        <w:tc>
          <w:tcPr>
            <w:tcW w:w="2327" w:type="dxa"/>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общо</w:t>
            </w:r>
          </w:p>
        </w:tc>
      </w:tr>
      <w:tr w:rsidR="0064668E" w:rsidRPr="00B83239" w:rsidTr="00292A7A">
        <w:trPr>
          <w:trHeight w:val="495"/>
        </w:trPr>
        <w:tc>
          <w:tcPr>
            <w:tcW w:w="2324" w:type="dxa"/>
          </w:tcPr>
          <w:p w:rsidR="0064668E" w:rsidRPr="00B83239" w:rsidRDefault="0064668E" w:rsidP="00292A7A">
            <w:pPr>
              <w:jc w:val="center"/>
              <w:rPr>
                <w:rFonts w:ascii="Times New Roman" w:hAnsi="Times New Roman"/>
                <w:sz w:val="24"/>
                <w:szCs w:val="24"/>
              </w:rPr>
            </w:pPr>
            <w:r w:rsidRPr="00B83239">
              <w:rPr>
                <w:rFonts w:ascii="Times New Roman" w:hAnsi="Times New Roman"/>
                <w:sz w:val="24"/>
                <w:szCs w:val="24"/>
              </w:rPr>
              <w:t>668</w:t>
            </w:r>
          </w:p>
        </w:tc>
        <w:tc>
          <w:tcPr>
            <w:tcW w:w="2324" w:type="dxa"/>
          </w:tcPr>
          <w:p w:rsidR="0064668E" w:rsidRPr="00B83239" w:rsidRDefault="0064668E" w:rsidP="00292A7A">
            <w:pPr>
              <w:jc w:val="center"/>
              <w:rPr>
                <w:rFonts w:ascii="Times New Roman" w:hAnsi="Times New Roman"/>
                <w:sz w:val="24"/>
                <w:szCs w:val="24"/>
              </w:rPr>
            </w:pPr>
            <w:r w:rsidRPr="00B83239">
              <w:rPr>
                <w:rFonts w:ascii="Times New Roman" w:hAnsi="Times New Roman"/>
                <w:sz w:val="24"/>
                <w:szCs w:val="24"/>
              </w:rPr>
              <w:t>787</w:t>
            </w:r>
          </w:p>
        </w:tc>
        <w:tc>
          <w:tcPr>
            <w:tcW w:w="2324" w:type="dxa"/>
          </w:tcPr>
          <w:p w:rsidR="0064668E" w:rsidRPr="00B83239" w:rsidRDefault="0064668E" w:rsidP="00292A7A">
            <w:pPr>
              <w:jc w:val="center"/>
              <w:rPr>
                <w:rFonts w:ascii="Times New Roman" w:hAnsi="Times New Roman"/>
                <w:sz w:val="24"/>
                <w:szCs w:val="24"/>
              </w:rPr>
            </w:pPr>
            <w:r w:rsidRPr="00B83239">
              <w:rPr>
                <w:rFonts w:ascii="Times New Roman" w:hAnsi="Times New Roman"/>
                <w:sz w:val="24"/>
                <w:szCs w:val="24"/>
              </w:rPr>
              <w:t>940</w:t>
            </w:r>
          </w:p>
        </w:tc>
        <w:tc>
          <w:tcPr>
            <w:tcW w:w="2327" w:type="dxa"/>
          </w:tcPr>
          <w:p w:rsidR="0064668E" w:rsidRPr="00B83239" w:rsidRDefault="0064668E" w:rsidP="00292A7A">
            <w:pPr>
              <w:jc w:val="center"/>
              <w:rPr>
                <w:rFonts w:ascii="Times New Roman" w:hAnsi="Times New Roman"/>
                <w:sz w:val="24"/>
                <w:szCs w:val="24"/>
              </w:rPr>
            </w:pPr>
            <w:r w:rsidRPr="00B83239">
              <w:rPr>
                <w:rFonts w:ascii="Times New Roman" w:hAnsi="Times New Roman"/>
                <w:sz w:val="24"/>
                <w:szCs w:val="24"/>
              </w:rPr>
              <w:t>2395</w:t>
            </w:r>
          </w:p>
        </w:tc>
      </w:tr>
      <w:tr w:rsidR="0064668E" w:rsidRPr="00B83239" w:rsidTr="00292A7A">
        <w:trPr>
          <w:trHeight w:val="508"/>
        </w:trPr>
        <w:tc>
          <w:tcPr>
            <w:tcW w:w="2324" w:type="dxa"/>
          </w:tcPr>
          <w:p w:rsidR="0064668E" w:rsidRPr="00B83239" w:rsidRDefault="0064668E" w:rsidP="00B83239">
            <w:pPr>
              <w:jc w:val="center"/>
              <w:rPr>
                <w:rFonts w:ascii="Times New Roman" w:hAnsi="Times New Roman"/>
                <w:sz w:val="24"/>
                <w:szCs w:val="24"/>
              </w:rPr>
            </w:pPr>
            <w:r w:rsidRPr="00B83239">
              <w:rPr>
                <w:rFonts w:ascii="Times New Roman" w:hAnsi="Times New Roman"/>
                <w:sz w:val="24"/>
                <w:szCs w:val="24"/>
              </w:rPr>
              <w:t>707 /2015</w:t>
            </w:r>
            <w:r>
              <w:rPr>
                <w:rFonts w:ascii="Times New Roman" w:hAnsi="Times New Roman"/>
                <w:sz w:val="24"/>
                <w:szCs w:val="24"/>
              </w:rPr>
              <w:t>г.</w:t>
            </w:r>
          </w:p>
        </w:tc>
        <w:tc>
          <w:tcPr>
            <w:tcW w:w="2324" w:type="dxa"/>
          </w:tcPr>
          <w:p w:rsidR="0064668E" w:rsidRPr="00B83239" w:rsidRDefault="0064668E" w:rsidP="00B83239">
            <w:pPr>
              <w:jc w:val="center"/>
              <w:rPr>
                <w:rFonts w:ascii="Times New Roman" w:hAnsi="Times New Roman"/>
                <w:sz w:val="24"/>
                <w:szCs w:val="24"/>
              </w:rPr>
            </w:pPr>
            <w:r w:rsidRPr="00B83239">
              <w:rPr>
                <w:rFonts w:ascii="Times New Roman" w:hAnsi="Times New Roman"/>
                <w:sz w:val="24"/>
                <w:szCs w:val="24"/>
              </w:rPr>
              <w:t>872</w:t>
            </w:r>
            <w:r>
              <w:rPr>
                <w:rFonts w:ascii="Times New Roman" w:hAnsi="Times New Roman"/>
                <w:sz w:val="24"/>
                <w:szCs w:val="24"/>
              </w:rPr>
              <w:t>/2015г.</w:t>
            </w:r>
          </w:p>
        </w:tc>
        <w:tc>
          <w:tcPr>
            <w:tcW w:w="2324" w:type="dxa"/>
          </w:tcPr>
          <w:p w:rsidR="0064668E" w:rsidRPr="00B83239" w:rsidRDefault="0064668E" w:rsidP="00B83239">
            <w:pPr>
              <w:jc w:val="center"/>
              <w:rPr>
                <w:rFonts w:ascii="Times New Roman" w:hAnsi="Times New Roman"/>
                <w:sz w:val="24"/>
                <w:szCs w:val="24"/>
              </w:rPr>
            </w:pPr>
            <w:r w:rsidRPr="00B83239">
              <w:rPr>
                <w:rFonts w:ascii="Times New Roman" w:hAnsi="Times New Roman"/>
                <w:sz w:val="24"/>
                <w:szCs w:val="24"/>
              </w:rPr>
              <w:t>980</w:t>
            </w:r>
            <w:r>
              <w:rPr>
                <w:rFonts w:ascii="Times New Roman" w:hAnsi="Times New Roman"/>
                <w:sz w:val="24"/>
                <w:szCs w:val="24"/>
              </w:rPr>
              <w:t>/2015г.</w:t>
            </w:r>
          </w:p>
        </w:tc>
        <w:tc>
          <w:tcPr>
            <w:tcW w:w="2327" w:type="dxa"/>
          </w:tcPr>
          <w:p w:rsidR="0064668E" w:rsidRPr="00B83239" w:rsidRDefault="0064668E" w:rsidP="00B83239">
            <w:pPr>
              <w:jc w:val="center"/>
              <w:rPr>
                <w:rFonts w:ascii="Times New Roman" w:hAnsi="Times New Roman"/>
                <w:sz w:val="24"/>
                <w:szCs w:val="24"/>
              </w:rPr>
            </w:pPr>
            <w:r w:rsidRPr="00B83239">
              <w:rPr>
                <w:rFonts w:ascii="Times New Roman" w:hAnsi="Times New Roman"/>
                <w:sz w:val="24"/>
                <w:szCs w:val="24"/>
              </w:rPr>
              <w:t>2559</w:t>
            </w:r>
            <w:r>
              <w:rPr>
                <w:rFonts w:ascii="Times New Roman" w:hAnsi="Times New Roman"/>
                <w:sz w:val="24"/>
                <w:szCs w:val="24"/>
              </w:rPr>
              <w:t>/2015г.</w:t>
            </w:r>
          </w:p>
        </w:tc>
      </w:tr>
    </w:tbl>
    <w:p w:rsidR="0064668E" w:rsidRDefault="0064668E" w:rsidP="00B83239">
      <w:pPr>
        <w:ind w:firstLine="708"/>
        <w:jc w:val="both"/>
        <w:rPr>
          <w:rFonts w:ascii="Times New Roman" w:hAnsi="Times New Roman"/>
          <w:sz w:val="24"/>
          <w:szCs w:val="24"/>
        </w:rPr>
      </w:pPr>
    </w:p>
    <w:p w:rsidR="0064668E" w:rsidRPr="00B83239" w:rsidRDefault="0064668E" w:rsidP="00B83239">
      <w:pPr>
        <w:ind w:firstLine="708"/>
        <w:jc w:val="both"/>
        <w:rPr>
          <w:rFonts w:ascii="Times New Roman" w:hAnsi="Times New Roman"/>
          <w:sz w:val="24"/>
          <w:szCs w:val="24"/>
        </w:rPr>
      </w:pPr>
      <w:r w:rsidRPr="00B83239">
        <w:rPr>
          <w:rFonts w:ascii="Times New Roman" w:hAnsi="Times New Roman"/>
          <w:sz w:val="24"/>
          <w:szCs w:val="24"/>
        </w:rPr>
        <w:t xml:space="preserve">Младежката общност на възраст от 15 до </w:t>
      </w:r>
      <w:smartTag w:uri="urn:schemas-microsoft-com:office:smarttags" w:element="metricconverter">
        <w:smartTagPr>
          <w:attr w:name="ProductID" w:val="29 г"/>
        </w:smartTagPr>
        <w:r w:rsidRPr="00B83239">
          <w:rPr>
            <w:rFonts w:ascii="Times New Roman" w:hAnsi="Times New Roman"/>
            <w:sz w:val="24"/>
            <w:szCs w:val="24"/>
          </w:rPr>
          <w:t>29 г</w:t>
        </w:r>
      </w:smartTag>
      <w:r w:rsidRPr="00B83239">
        <w:rPr>
          <w:rFonts w:ascii="Times New Roman" w:hAnsi="Times New Roman"/>
          <w:sz w:val="24"/>
          <w:szCs w:val="24"/>
        </w:rPr>
        <w:t xml:space="preserve"> представляват 17,92 % от населението в Община Сунгурларе. В сравнение с изминалата 2015 година този процент е  </w:t>
      </w:r>
      <w:r>
        <w:rPr>
          <w:rFonts w:ascii="Times New Roman" w:hAnsi="Times New Roman"/>
          <w:sz w:val="24"/>
          <w:szCs w:val="24"/>
        </w:rPr>
        <w:t>бил</w:t>
      </w:r>
      <w:r w:rsidRPr="00B83239">
        <w:rPr>
          <w:rFonts w:ascii="Times New Roman" w:hAnsi="Times New Roman"/>
          <w:sz w:val="24"/>
          <w:szCs w:val="24"/>
        </w:rPr>
        <w:t>18,96.</w:t>
      </w:r>
    </w:p>
    <w:p w:rsidR="0064668E" w:rsidRPr="00B83239" w:rsidRDefault="0064668E" w:rsidP="00B83239">
      <w:pPr>
        <w:ind w:firstLine="708"/>
        <w:jc w:val="both"/>
        <w:rPr>
          <w:rFonts w:ascii="Times New Roman" w:hAnsi="Times New Roman"/>
          <w:sz w:val="24"/>
          <w:szCs w:val="24"/>
        </w:rPr>
      </w:pPr>
      <w:r w:rsidRPr="00B83239">
        <w:rPr>
          <w:rFonts w:ascii="Times New Roman" w:hAnsi="Times New Roman"/>
          <w:sz w:val="24"/>
          <w:szCs w:val="24"/>
        </w:rPr>
        <w:t xml:space="preserve">Тенденцията на остаряване на населението води до промени и в неговата основна възрастова структура. Влияние върху съвкупностите на населението (в категориите под, във и над трудоспособна възраст) оказват както остаряването на населението, така и законодателните промени, регламентиращи възрастовите граници при пенсиониране. За </w:t>
      </w:r>
      <w:smartTag w:uri="urn:schemas-microsoft-com:office:smarttags" w:element="metricconverter">
        <w:smartTagPr>
          <w:attr w:name="ProductID" w:val="2016 г"/>
        </w:smartTagPr>
        <w:r w:rsidRPr="00B83239">
          <w:rPr>
            <w:rFonts w:ascii="Times New Roman" w:hAnsi="Times New Roman"/>
            <w:sz w:val="24"/>
            <w:szCs w:val="24"/>
          </w:rPr>
          <w:t>2016 г</w:t>
        </w:r>
      </w:smartTag>
      <w:r w:rsidRPr="00B83239">
        <w:rPr>
          <w:rFonts w:ascii="Times New Roman" w:hAnsi="Times New Roman"/>
          <w:sz w:val="24"/>
          <w:szCs w:val="24"/>
        </w:rPr>
        <w:t xml:space="preserve">. тези граници за населението в трудоспособна възраст са: </w:t>
      </w:r>
    </w:p>
    <w:p w:rsidR="0064668E" w:rsidRPr="00B83239" w:rsidRDefault="0064668E" w:rsidP="005A0D92">
      <w:pPr>
        <w:jc w:val="both"/>
        <w:rPr>
          <w:rFonts w:ascii="Times New Roman" w:hAnsi="Times New Roman"/>
          <w:sz w:val="24"/>
          <w:szCs w:val="24"/>
        </w:rPr>
      </w:pPr>
      <w:r w:rsidRPr="00B83239">
        <w:rPr>
          <w:rFonts w:ascii="Times New Roman" w:hAnsi="Times New Roman"/>
          <w:sz w:val="24"/>
          <w:szCs w:val="24"/>
        </w:rPr>
        <w:t xml:space="preserve">- до навършването на </w:t>
      </w:r>
      <w:smartTag w:uri="urn:schemas-microsoft-com:office:smarttags" w:element="metricconverter">
        <w:smartTagPr>
          <w:attr w:name="ProductID" w:val="60 г"/>
        </w:smartTagPr>
        <w:r w:rsidRPr="00B83239">
          <w:rPr>
            <w:rFonts w:ascii="Times New Roman" w:hAnsi="Times New Roman"/>
            <w:sz w:val="24"/>
            <w:szCs w:val="24"/>
          </w:rPr>
          <w:t>60 г</w:t>
        </w:r>
      </w:smartTag>
      <w:r w:rsidRPr="00B83239">
        <w:rPr>
          <w:rFonts w:ascii="Times New Roman" w:hAnsi="Times New Roman"/>
          <w:sz w:val="24"/>
          <w:szCs w:val="24"/>
        </w:rPr>
        <w:t xml:space="preserve">. и 10 месеца   и </w:t>
      </w:r>
      <w:smartTag w:uri="urn:schemas-microsoft-com:office:smarttags" w:element="metricconverter">
        <w:smartTagPr>
          <w:attr w:name="ProductID" w:val="35 г"/>
        </w:smartTagPr>
        <w:r w:rsidRPr="00B83239">
          <w:rPr>
            <w:rFonts w:ascii="Times New Roman" w:hAnsi="Times New Roman"/>
            <w:sz w:val="24"/>
            <w:szCs w:val="24"/>
          </w:rPr>
          <w:t>35 г</w:t>
        </w:r>
      </w:smartTag>
      <w:r w:rsidRPr="00B83239">
        <w:rPr>
          <w:rFonts w:ascii="Times New Roman" w:hAnsi="Times New Roman"/>
          <w:sz w:val="24"/>
          <w:szCs w:val="24"/>
        </w:rPr>
        <w:t xml:space="preserve">. и </w:t>
      </w:r>
      <w:smartTag w:uri="urn:schemas-microsoft-com:office:smarttags" w:element="metricconverter">
        <w:smartTagPr>
          <w:attr w:name="ProductID" w:val="2 м"/>
        </w:smartTagPr>
        <w:r w:rsidRPr="00B83239">
          <w:rPr>
            <w:rFonts w:ascii="Times New Roman" w:hAnsi="Times New Roman"/>
            <w:sz w:val="24"/>
            <w:szCs w:val="24"/>
          </w:rPr>
          <w:t>2 м</w:t>
        </w:r>
      </w:smartTag>
      <w:r w:rsidRPr="00B83239">
        <w:rPr>
          <w:rFonts w:ascii="Times New Roman" w:hAnsi="Times New Roman"/>
          <w:sz w:val="24"/>
          <w:szCs w:val="24"/>
        </w:rPr>
        <w:t xml:space="preserve">. осигурителен стаж за жените </w:t>
      </w:r>
    </w:p>
    <w:p w:rsidR="0064668E" w:rsidRPr="00B83239" w:rsidRDefault="0064668E" w:rsidP="005A0D92">
      <w:pPr>
        <w:jc w:val="both"/>
        <w:rPr>
          <w:rFonts w:ascii="Times New Roman" w:hAnsi="Times New Roman"/>
          <w:sz w:val="24"/>
          <w:szCs w:val="24"/>
        </w:rPr>
      </w:pPr>
      <w:r w:rsidRPr="00B83239">
        <w:rPr>
          <w:rFonts w:ascii="Times New Roman" w:hAnsi="Times New Roman"/>
          <w:sz w:val="24"/>
          <w:szCs w:val="24"/>
        </w:rPr>
        <w:t xml:space="preserve">- до навършване на  </w:t>
      </w:r>
      <w:smartTag w:uri="urn:schemas-microsoft-com:office:smarttags" w:element="metricconverter">
        <w:smartTagPr>
          <w:attr w:name="ProductID" w:val="63 г"/>
        </w:smartTagPr>
        <w:r w:rsidRPr="00B83239">
          <w:rPr>
            <w:rFonts w:ascii="Times New Roman" w:hAnsi="Times New Roman"/>
            <w:sz w:val="24"/>
            <w:szCs w:val="24"/>
          </w:rPr>
          <w:t>63 г</w:t>
        </w:r>
      </w:smartTag>
      <w:r w:rsidRPr="00B83239">
        <w:rPr>
          <w:rFonts w:ascii="Times New Roman" w:hAnsi="Times New Roman"/>
          <w:sz w:val="24"/>
          <w:szCs w:val="24"/>
        </w:rPr>
        <w:t xml:space="preserve">. и10  месеца  и </w:t>
      </w:r>
      <w:smartTag w:uri="urn:schemas-microsoft-com:office:smarttags" w:element="metricconverter">
        <w:smartTagPr>
          <w:attr w:name="ProductID" w:val="38 г"/>
        </w:smartTagPr>
        <w:r w:rsidRPr="00B83239">
          <w:rPr>
            <w:rFonts w:ascii="Times New Roman" w:hAnsi="Times New Roman"/>
            <w:sz w:val="24"/>
            <w:szCs w:val="24"/>
          </w:rPr>
          <w:t>38 г</w:t>
        </w:r>
      </w:smartTag>
      <w:r w:rsidRPr="00B83239">
        <w:rPr>
          <w:rFonts w:ascii="Times New Roman" w:hAnsi="Times New Roman"/>
          <w:sz w:val="24"/>
          <w:szCs w:val="24"/>
        </w:rPr>
        <w:t xml:space="preserve">. и </w:t>
      </w:r>
      <w:smartTag w:uri="urn:schemas-microsoft-com:office:smarttags" w:element="metricconverter">
        <w:smartTagPr>
          <w:attr w:name="ProductID" w:val="2 м"/>
        </w:smartTagPr>
        <w:r w:rsidRPr="00B83239">
          <w:rPr>
            <w:rFonts w:ascii="Times New Roman" w:hAnsi="Times New Roman"/>
            <w:sz w:val="24"/>
            <w:szCs w:val="24"/>
          </w:rPr>
          <w:t>2 м</w:t>
        </w:r>
      </w:smartTag>
      <w:r w:rsidRPr="00B83239">
        <w:rPr>
          <w:rFonts w:ascii="Times New Roman" w:hAnsi="Times New Roman"/>
          <w:sz w:val="24"/>
          <w:szCs w:val="24"/>
        </w:rPr>
        <w:t>. осигурителен стаж за мъжете.</w:t>
      </w:r>
    </w:p>
    <w:p w:rsidR="0064668E" w:rsidRPr="007F3C86" w:rsidRDefault="0064668E" w:rsidP="007F3C86">
      <w:pPr>
        <w:ind w:firstLine="708"/>
        <w:rPr>
          <w:rFonts w:ascii="Times New Roman" w:hAnsi="Times New Roman"/>
          <w:sz w:val="24"/>
          <w:szCs w:val="24"/>
        </w:rPr>
      </w:pPr>
      <w:r w:rsidRPr="00B83239">
        <w:rPr>
          <w:rFonts w:ascii="Times New Roman" w:hAnsi="Times New Roman"/>
          <w:sz w:val="24"/>
          <w:szCs w:val="24"/>
        </w:rPr>
        <w:t xml:space="preserve">Към края на </w:t>
      </w:r>
      <w:smartTag w:uri="urn:schemas-microsoft-com:office:smarttags" w:element="metricconverter">
        <w:smartTagPr>
          <w:attr w:name="ProductID" w:val="2016 г"/>
        </w:smartTagPr>
        <w:r w:rsidRPr="00B83239">
          <w:rPr>
            <w:rFonts w:ascii="Times New Roman" w:hAnsi="Times New Roman"/>
            <w:sz w:val="24"/>
            <w:szCs w:val="24"/>
          </w:rPr>
          <w:t>2016 г</w:t>
        </w:r>
      </w:smartTag>
      <w:r w:rsidRPr="00B83239">
        <w:rPr>
          <w:rFonts w:ascii="Times New Roman" w:hAnsi="Times New Roman"/>
          <w:sz w:val="24"/>
          <w:szCs w:val="24"/>
        </w:rPr>
        <w:t>. населените места в Община Сунгурларе са 28 на брой, от които 27 са</w:t>
      </w:r>
      <w:r w:rsidRPr="00B83239">
        <w:rPr>
          <w:rFonts w:ascii="Times New Roman" w:hAnsi="Times New Roman"/>
          <w:sz w:val="24"/>
          <w:szCs w:val="24"/>
          <w:lang w:val="ru-RU"/>
        </w:rPr>
        <w:t xml:space="preserve"> </w:t>
      </w:r>
      <w:r w:rsidRPr="00B83239">
        <w:rPr>
          <w:rFonts w:ascii="Times New Roman" w:hAnsi="Times New Roman"/>
          <w:sz w:val="24"/>
          <w:szCs w:val="24"/>
        </w:rPr>
        <w:t>села. Разпределението на населението по населени места в края на</w:t>
      </w:r>
      <w:r w:rsidRPr="00B83239">
        <w:rPr>
          <w:rFonts w:ascii="Times New Roman" w:hAnsi="Times New Roman"/>
          <w:sz w:val="24"/>
          <w:szCs w:val="24"/>
          <w:lang w:val="ru-RU"/>
        </w:rPr>
        <w:t xml:space="preserve"> </w:t>
      </w:r>
      <w:r w:rsidRPr="00B83239">
        <w:rPr>
          <w:rFonts w:ascii="Times New Roman" w:hAnsi="Times New Roman"/>
          <w:sz w:val="24"/>
          <w:szCs w:val="24"/>
        </w:rPr>
        <w:t>годината е резултат от една страна от неговото естествено и механично движение, а от</w:t>
      </w:r>
      <w:r w:rsidRPr="00B83239">
        <w:rPr>
          <w:rFonts w:ascii="Times New Roman" w:hAnsi="Times New Roman"/>
          <w:sz w:val="24"/>
          <w:szCs w:val="24"/>
          <w:lang w:val="ru-RU"/>
        </w:rPr>
        <w:t xml:space="preserve"> </w:t>
      </w:r>
      <w:r w:rsidRPr="00B83239">
        <w:rPr>
          <w:rFonts w:ascii="Times New Roman" w:hAnsi="Times New Roman"/>
          <w:sz w:val="24"/>
          <w:szCs w:val="24"/>
        </w:rPr>
        <w:t xml:space="preserve">друга - от административните промени в селищната структура на страната. </w:t>
      </w:r>
    </w:p>
    <w:p w:rsidR="0064668E" w:rsidRPr="00B83239" w:rsidRDefault="0064668E" w:rsidP="002336C3">
      <w:pPr>
        <w:rPr>
          <w:rFonts w:ascii="Times New Roman" w:hAnsi="Times New Roman"/>
          <w:b/>
          <w:sz w:val="24"/>
          <w:szCs w:val="24"/>
        </w:rPr>
      </w:pPr>
      <w:r w:rsidRPr="00B83239">
        <w:rPr>
          <w:rFonts w:ascii="Times New Roman" w:hAnsi="Times New Roman"/>
          <w:b/>
          <w:sz w:val="24"/>
          <w:szCs w:val="24"/>
        </w:rPr>
        <w:t>Вътрешна и външна миграция на населението</w:t>
      </w:r>
    </w:p>
    <w:p w:rsidR="0064668E" w:rsidRPr="00B83239" w:rsidRDefault="0064668E" w:rsidP="007F3C86">
      <w:pPr>
        <w:ind w:firstLine="708"/>
        <w:jc w:val="both"/>
        <w:rPr>
          <w:rFonts w:ascii="Times New Roman" w:hAnsi="Times New Roman"/>
          <w:sz w:val="24"/>
          <w:szCs w:val="24"/>
        </w:rPr>
      </w:pPr>
      <w:r w:rsidRPr="00B83239">
        <w:rPr>
          <w:rFonts w:ascii="Times New Roman" w:hAnsi="Times New Roman"/>
          <w:sz w:val="24"/>
          <w:szCs w:val="24"/>
        </w:rPr>
        <w:t>Най-голямо териториално движение общо в Сунгурларска община има по направлението „град - град“.</w:t>
      </w:r>
      <w:r w:rsidRPr="00B83239">
        <w:rPr>
          <w:rFonts w:ascii="Times New Roman" w:hAnsi="Times New Roman"/>
          <w:sz w:val="24"/>
          <w:szCs w:val="24"/>
          <w:lang w:val="ru-RU"/>
        </w:rPr>
        <w:t xml:space="preserve"> </w:t>
      </w:r>
      <w:r w:rsidRPr="00B83239">
        <w:rPr>
          <w:rFonts w:ascii="Times New Roman" w:hAnsi="Times New Roman"/>
          <w:sz w:val="24"/>
          <w:szCs w:val="24"/>
        </w:rPr>
        <w:t>Значително по-малки по брой и относителен дял са миграционните потоци по направлението „село - село“ . В условията на динамично развиващото се общество и настъпващите промени  се забелязва засилваща емиграция на млади хора и в чужбина. Най-предпочитани от емигрантите дестинации са Германия,</w:t>
      </w:r>
      <w:r>
        <w:rPr>
          <w:rFonts w:ascii="Times New Roman" w:hAnsi="Times New Roman"/>
          <w:sz w:val="24"/>
          <w:szCs w:val="24"/>
        </w:rPr>
        <w:t xml:space="preserve"> </w:t>
      </w:r>
      <w:r w:rsidRPr="00B83239">
        <w:rPr>
          <w:rFonts w:ascii="Times New Roman" w:hAnsi="Times New Roman"/>
          <w:sz w:val="24"/>
          <w:szCs w:val="24"/>
        </w:rPr>
        <w:t xml:space="preserve">Обединеното кралство  и Испания </w:t>
      </w:r>
    </w:p>
    <w:p w:rsidR="0064668E" w:rsidRPr="00B83239" w:rsidRDefault="0064668E" w:rsidP="00401C08">
      <w:pPr>
        <w:rPr>
          <w:rFonts w:ascii="Times New Roman" w:hAnsi="Times New Roman"/>
          <w:b/>
          <w:sz w:val="24"/>
          <w:szCs w:val="24"/>
        </w:rPr>
      </w:pPr>
      <w:r w:rsidRPr="00B83239">
        <w:rPr>
          <w:rFonts w:ascii="Times New Roman" w:hAnsi="Times New Roman"/>
          <w:b/>
          <w:sz w:val="24"/>
          <w:szCs w:val="24"/>
        </w:rPr>
        <w:t>Приоритет I. Насърчаване на икономическата активност и кариерното развитие на младите хора</w:t>
      </w:r>
    </w:p>
    <w:p w:rsidR="0064668E" w:rsidRPr="00B83239" w:rsidRDefault="0064668E" w:rsidP="002C53A8">
      <w:pPr>
        <w:rPr>
          <w:rFonts w:ascii="Times New Roman" w:hAnsi="Times New Roman"/>
          <w:b/>
          <w:sz w:val="24"/>
          <w:szCs w:val="24"/>
        </w:rPr>
      </w:pPr>
      <w:r w:rsidRPr="00B83239">
        <w:rPr>
          <w:rFonts w:ascii="Times New Roman" w:hAnsi="Times New Roman"/>
          <w:b/>
          <w:sz w:val="24"/>
          <w:szCs w:val="24"/>
        </w:rPr>
        <w:t>1.1.1 Състояние на изследвания индикатор</w:t>
      </w:r>
    </w:p>
    <w:p w:rsidR="0064668E" w:rsidRPr="00BA31C7" w:rsidRDefault="0064668E" w:rsidP="00BA31C7">
      <w:pPr>
        <w:ind w:firstLine="708"/>
        <w:jc w:val="both"/>
        <w:rPr>
          <w:rFonts w:ascii="Times New Roman" w:hAnsi="Times New Roman"/>
          <w:sz w:val="24"/>
          <w:szCs w:val="24"/>
          <w:lang w:val="ru-RU"/>
        </w:rPr>
      </w:pPr>
      <w:r w:rsidRPr="00B83239">
        <w:rPr>
          <w:rFonts w:ascii="Times New Roman" w:hAnsi="Times New Roman"/>
          <w:sz w:val="24"/>
          <w:szCs w:val="24"/>
        </w:rPr>
        <w:t>Съгласно Препоръка на Съвета на Европейския съюз, като „преждевременно</w:t>
      </w:r>
      <w:r w:rsidRPr="00B83239">
        <w:rPr>
          <w:rFonts w:ascii="Times New Roman" w:hAnsi="Times New Roman"/>
          <w:sz w:val="24"/>
          <w:szCs w:val="24"/>
          <w:lang w:val="ru-RU"/>
        </w:rPr>
        <w:t xml:space="preserve"> </w:t>
      </w:r>
      <w:r w:rsidRPr="00B83239">
        <w:rPr>
          <w:rFonts w:ascii="Times New Roman" w:hAnsi="Times New Roman"/>
          <w:sz w:val="24"/>
          <w:szCs w:val="24"/>
        </w:rPr>
        <w:t>напуснали училище” се определят лицата между 18 и 24 години, завършили основно</w:t>
      </w:r>
      <w:r w:rsidRPr="00B83239">
        <w:rPr>
          <w:rFonts w:ascii="Times New Roman" w:hAnsi="Times New Roman"/>
          <w:sz w:val="24"/>
          <w:szCs w:val="24"/>
          <w:lang w:val="ru-RU"/>
        </w:rPr>
        <w:t xml:space="preserve"> </w:t>
      </w:r>
      <w:r w:rsidRPr="00B83239">
        <w:rPr>
          <w:rFonts w:ascii="Times New Roman" w:hAnsi="Times New Roman"/>
          <w:sz w:val="24"/>
          <w:szCs w:val="24"/>
        </w:rPr>
        <w:t>образование или по-ниска образователна степен. По данни на Националния</w:t>
      </w:r>
      <w:r w:rsidRPr="00B83239">
        <w:rPr>
          <w:rFonts w:ascii="Times New Roman" w:hAnsi="Times New Roman"/>
          <w:sz w:val="24"/>
          <w:szCs w:val="24"/>
          <w:lang w:val="ru-RU"/>
        </w:rPr>
        <w:t xml:space="preserve"> </w:t>
      </w:r>
      <w:r w:rsidRPr="00B83239">
        <w:rPr>
          <w:rFonts w:ascii="Times New Roman" w:hAnsi="Times New Roman"/>
          <w:sz w:val="24"/>
          <w:szCs w:val="24"/>
        </w:rPr>
        <w:t xml:space="preserve">статистически институт (НСИ) за </w:t>
      </w:r>
      <w:smartTag w:uri="urn:schemas-microsoft-com:office:smarttags" w:element="metricconverter">
        <w:smartTagPr>
          <w:attr w:name="ProductID" w:val="2016 г"/>
        </w:smartTagPr>
        <w:r w:rsidRPr="00B83239">
          <w:rPr>
            <w:rFonts w:ascii="Times New Roman" w:hAnsi="Times New Roman"/>
            <w:sz w:val="24"/>
            <w:szCs w:val="24"/>
          </w:rPr>
          <w:t>201</w:t>
        </w:r>
        <w:r w:rsidRPr="00B83239">
          <w:rPr>
            <w:rFonts w:ascii="Times New Roman" w:hAnsi="Times New Roman"/>
            <w:sz w:val="24"/>
            <w:szCs w:val="24"/>
            <w:lang w:val="ru-RU"/>
          </w:rPr>
          <w:t>6</w:t>
        </w:r>
        <w:r w:rsidRPr="00B83239">
          <w:rPr>
            <w:rFonts w:ascii="Times New Roman" w:hAnsi="Times New Roman"/>
            <w:sz w:val="24"/>
            <w:szCs w:val="24"/>
          </w:rPr>
          <w:t xml:space="preserve"> г</w:t>
        </w:r>
      </w:smartTag>
      <w:r w:rsidRPr="00B83239">
        <w:rPr>
          <w:rFonts w:ascii="Times New Roman" w:hAnsi="Times New Roman"/>
          <w:sz w:val="24"/>
          <w:szCs w:val="24"/>
        </w:rPr>
        <w:t>., делът на преждевременно напусналите</w:t>
      </w:r>
      <w:r w:rsidRPr="00B83239">
        <w:rPr>
          <w:rFonts w:ascii="Times New Roman" w:hAnsi="Times New Roman"/>
          <w:sz w:val="24"/>
          <w:szCs w:val="24"/>
          <w:lang w:val="ru-RU"/>
        </w:rPr>
        <w:t xml:space="preserve"> </w:t>
      </w:r>
      <w:r w:rsidRPr="00B83239">
        <w:rPr>
          <w:rFonts w:ascii="Times New Roman" w:hAnsi="Times New Roman"/>
          <w:sz w:val="24"/>
          <w:szCs w:val="24"/>
        </w:rPr>
        <w:t xml:space="preserve">образователната </w:t>
      </w:r>
      <w:r w:rsidRPr="00BA31C7">
        <w:rPr>
          <w:rFonts w:ascii="Times New Roman" w:hAnsi="Times New Roman"/>
          <w:sz w:val="24"/>
          <w:szCs w:val="24"/>
        </w:rPr>
        <w:t>система е 12,9% от всички учащи. През учебната 2015/2016 г. броят на</w:t>
      </w:r>
      <w:r w:rsidRPr="00BA31C7">
        <w:rPr>
          <w:rFonts w:ascii="Times New Roman" w:hAnsi="Times New Roman"/>
          <w:sz w:val="24"/>
          <w:szCs w:val="24"/>
          <w:lang w:val="ru-RU"/>
        </w:rPr>
        <w:t xml:space="preserve"> </w:t>
      </w:r>
      <w:r w:rsidRPr="00BA31C7">
        <w:rPr>
          <w:rFonts w:ascii="Times New Roman" w:hAnsi="Times New Roman"/>
          <w:sz w:val="24"/>
          <w:szCs w:val="24"/>
        </w:rPr>
        <w:t>учениците във всички училища е</w:t>
      </w:r>
      <w:r w:rsidRPr="00BA31C7">
        <w:rPr>
          <w:rFonts w:ascii="Times New Roman" w:hAnsi="Times New Roman"/>
          <w:sz w:val="24"/>
          <w:szCs w:val="24"/>
          <w:lang w:val="ru-RU"/>
        </w:rPr>
        <w:t xml:space="preserve"> 1025</w:t>
      </w:r>
      <w:r w:rsidRPr="00BA31C7">
        <w:rPr>
          <w:rFonts w:ascii="Times New Roman" w:hAnsi="Times New Roman"/>
          <w:sz w:val="24"/>
          <w:szCs w:val="24"/>
        </w:rPr>
        <w:t>. В сравнение с предходната година броят им</w:t>
      </w:r>
      <w:r w:rsidRPr="00BA31C7">
        <w:rPr>
          <w:rFonts w:ascii="Times New Roman" w:hAnsi="Times New Roman"/>
          <w:sz w:val="24"/>
          <w:szCs w:val="24"/>
          <w:lang w:val="ru-RU"/>
        </w:rPr>
        <w:t xml:space="preserve"> 1049 </w:t>
      </w:r>
      <w:r w:rsidRPr="00BA31C7">
        <w:rPr>
          <w:rFonts w:ascii="Times New Roman" w:hAnsi="Times New Roman"/>
          <w:sz w:val="24"/>
          <w:szCs w:val="24"/>
        </w:rPr>
        <w:t>намалява с 24.</w:t>
      </w:r>
    </w:p>
    <w:p w:rsidR="0064668E" w:rsidRPr="00B83239" w:rsidRDefault="0064668E" w:rsidP="002C53A8">
      <w:pPr>
        <w:rPr>
          <w:rFonts w:ascii="Times New Roman" w:hAnsi="Times New Roman"/>
          <w:sz w:val="24"/>
          <w:szCs w:val="24"/>
        </w:rPr>
      </w:pPr>
      <w:r w:rsidRPr="00B83239">
        <w:rPr>
          <w:rFonts w:ascii="Times New Roman" w:hAnsi="Times New Roman"/>
          <w:sz w:val="24"/>
          <w:szCs w:val="24"/>
        </w:rPr>
        <w:t>1.1.2 Анализ на състоянието</w:t>
      </w:r>
    </w:p>
    <w:p w:rsidR="0064668E" w:rsidRPr="00B83239" w:rsidRDefault="0064668E" w:rsidP="00016D09">
      <w:pPr>
        <w:ind w:firstLine="708"/>
        <w:jc w:val="both"/>
        <w:rPr>
          <w:rFonts w:ascii="Times New Roman" w:hAnsi="Times New Roman"/>
          <w:sz w:val="24"/>
          <w:szCs w:val="24"/>
        </w:rPr>
      </w:pPr>
      <w:r w:rsidRPr="00B83239">
        <w:rPr>
          <w:rFonts w:ascii="Times New Roman" w:hAnsi="Times New Roman"/>
          <w:sz w:val="24"/>
          <w:szCs w:val="24"/>
        </w:rPr>
        <w:t>Причините, поради които младите хора напускат преждевременно системата на образование и обучение, са строго индивидуални. По информация на директорите на училищата , най-честите причини за напускане на учениците са отсъствия, слаб успех, както и социални,  семейни причини или заминаване в чужбина .</w:t>
      </w:r>
    </w:p>
    <w:p w:rsidR="0064668E" w:rsidRPr="00B83239" w:rsidRDefault="0064668E" w:rsidP="00016D09">
      <w:pPr>
        <w:ind w:firstLine="708"/>
        <w:jc w:val="both"/>
        <w:rPr>
          <w:rFonts w:ascii="Times New Roman" w:hAnsi="Times New Roman"/>
          <w:sz w:val="24"/>
          <w:szCs w:val="24"/>
        </w:rPr>
      </w:pPr>
      <w:r w:rsidRPr="00B83239">
        <w:rPr>
          <w:rFonts w:ascii="Times New Roman" w:hAnsi="Times New Roman"/>
          <w:sz w:val="24"/>
          <w:szCs w:val="24"/>
        </w:rPr>
        <w:t>В сравнение с други млади хора, децата на родители с ниско равнище на образование и неравностойно социално положение е по- вероятно да напуснат образователната система преди да завършат степен на средното образование. Младежите, които са спрели да учат преди да завършат средно образование, посочват като водещи три причини: нежеланието за учене, липсата на финансови средства за обучение и  прекъснали по семейни причини.</w:t>
      </w:r>
    </w:p>
    <w:p w:rsidR="0064668E" w:rsidRPr="00B83239" w:rsidRDefault="0064668E" w:rsidP="00016D09">
      <w:pPr>
        <w:ind w:firstLine="708"/>
        <w:jc w:val="both"/>
        <w:rPr>
          <w:rFonts w:ascii="Times New Roman" w:hAnsi="Times New Roman"/>
          <w:sz w:val="24"/>
          <w:szCs w:val="24"/>
        </w:rPr>
      </w:pPr>
      <w:r w:rsidRPr="00B83239">
        <w:rPr>
          <w:rFonts w:ascii="Times New Roman" w:hAnsi="Times New Roman"/>
          <w:sz w:val="24"/>
          <w:szCs w:val="24"/>
        </w:rPr>
        <w:t>Етнокултурните различия също могат да бъдат посочени като причина за отпадане от образователната система. Действащите вътрешно-групови норми и натискът на етнокултурните традиции сред уязвимите етнически общности и групи предопределят специфичните причини за преждевременно напускане на училище:отсъствие на познавателна мотивация, ниска степен на готовност за училище, липса на мотивация у родителите за получаване на образование от децата им и др.</w:t>
      </w:r>
    </w:p>
    <w:p w:rsidR="0064668E" w:rsidRPr="00B83239" w:rsidRDefault="0064668E" w:rsidP="00016D09">
      <w:pPr>
        <w:ind w:firstLine="708"/>
        <w:jc w:val="both"/>
        <w:rPr>
          <w:rFonts w:ascii="Times New Roman" w:hAnsi="Times New Roman"/>
          <w:sz w:val="24"/>
          <w:szCs w:val="24"/>
        </w:rPr>
      </w:pPr>
      <w:r w:rsidRPr="00B83239">
        <w:rPr>
          <w:rFonts w:ascii="Times New Roman" w:hAnsi="Times New Roman"/>
          <w:sz w:val="24"/>
          <w:szCs w:val="24"/>
        </w:rPr>
        <w:t>Причините за отпадане от училище и непълното обхващане от националната образователна система на децата и младите хора в задължителна училищна възраст са комплексни и положителната промяна на състоянието на тези явления изисква прилагане на комплексни мерки и добра координация между институциите от няколко различни сектора, на всяко от нивата на управление - национално, регионално, местно и училищно.</w:t>
      </w:r>
    </w:p>
    <w:p w:rsidR="0064668E" w:rsidRPr="00B83239" w:rsidRDefault="0064668E" w:rsidP="00016D09">
      <w:pPr>
        <w:ind w:firstLine="708"/>
        <w:rPr>
          <w:rFonts w:ascii="Times New Roman" w:hAnsi="Times New Roman"/>
          <w:sz w:val="24"/>
          <w:szCs w:val="24"/>
        </w:rPr>
      </w:pPr>
      <w:r w:rsidRPr="00B83239">
        <w:rPr>
          <w:rFonts w:ascii="Times New Roman" w:hAnsi="Times New Roman"/>
          <w:sz w:val="24"/>
          <w:szCs w:val="24"/>
        </w:rPr>
        <w:t xml:space="preserve"> 1.1.3 Предприети мерки</w:t>
      </w:r>
    </w:p>
    <w:p w:rsidR="0064668E" w:rsidRPr="00B83239" w:rsidRDefault="0064668E" w:rsidP="00016D09">
      <w:pPr>
        <w:jc w:val="both"/>
        <w:rPr>
          <w:rFonts w:ascii="Times New Roman" w:hAnsi="Times New Roman"/>
          <w:sz w:val="24"/>
          <w:szCs w:val="24"/>
        </w:rPr>
      </w:pPr>
      <w:r w:rsidRPr="00B83239">
        <w:rPr>
          <w:rFonts w:ascii="Times New Roman" w:hAnsi="Times New Roman"/>
          <w:sz w:val="24"/>
          <w:szCs w:val="24"/>
        </w:rPr>
        <w:t>Министерството на образованието и науката изготвя стратегия за превенция и преодоляване на отсъствията от училище и на ранното напускане на системата, както и план за действие, в зависимост от конкретните условия и трудности във всяко училище.</w:t>
      </w:r>
    </w:p>
    <w:p w:rsidR="0064668E" w:rsidRPr="00B83239" w:rsidRDefault="0064668E" w:rsidP="00016D09">
      <w:pPr>
        <w:jc w:val="both"/>
        <w:rPr>
          <w:rFonts w:ascii="Times New Roman" w:hAnsi="Times New Roman"/>
          <w:sz w:val="24"/>
          <w:szCs w:val="24"/>
        </w:rPr>
      </w:pPr>
      <w:r w:rsidRPr="00B83239">
        <w:rPr>
          <w:rFonts w:ascii="Times New Roman" w:hAnsi="Times New Roman"/>
          <w:sz w:val="24"/>
          <w:szCs w:val="24"/>
        </w:rPr>
        <w:t xml:space="preserve">През </w:t>
      </w:r>
      <w:smartTag w:uri="urn:schemas-microsoft-com:office:smarttags" w:element="metricconverter">
        <w:smartTagPr>
          <w:attr w:name="ProductID" w:val="2016 г"/>
        </w:smartTagPr>
        <w:r w:rsidRPr="00B83239">
          <w:rPr>
            <w:rFonts w:ascii="Times New Roman" w:hAnsi="Times New Roman"/>
            <w:sz w:val="24"/>
            <w:szCs w:val="24"/>
          </w:rPr>
          <w:t>2016 г</w:t>
        </w:r>
      </w:smartTag>
      <w:r w:rsidRPr="00B83239">
        <w:rPr>
          <w:rFonts w:ascii="Times New Roman" w:hAnsi="Times New Roman"/>
          <w:sz w:val="24"/>
          <w:szCs w:val="24"/>
        </w:rPr>
        <w:t>. са осъществени редица съвместни дейности с родителите за преодоляване на проблема с отсъствията на учениците и непосещаването на училищни занятия – своевременно информиране на родителите за отсъствията и успеха на учениците, тематични срещи с родители по проблемите на отговорността за възпитанието и образованието на децата и общите задължения на родителите, както и посещения на класните ръководители и възпитателите по домовете на учениците, които са отсъствали от училище повече от 5 последователни дни без причина. Също така са организирани и проведени ежеседмични консултации със семействата или лицата, които се грижат за учениците, а родители са се включвали в различни училищни мероприятия.</w:t>
      </w:r>
    </w:p>
    <w:p w:rsidR="0064668E" w:rsidRPr="00B83239" w:rsidRDefault="0064668E" w:rsidP="00BA31C7">
      <w:pPr>
        <w:ind w:firstLine="708"/>
        <w:jc w:val="both"/>
        <w:rPr>
          <w:rFonts w:ascii="Times New Roman" w:hAnsi="Times New Roman"/>
          <w:sz w:val="24"/>
          <w:szCs w:val="24"/>
        </w:rPr>
      </w:pPr>
      <w:r w:rsidRPr="00B83239">
        <w:rPr>
          <w:rFonts w:ascii="Times New Roman" w:hAnsi="Times New Roman"/>
          <w:sz w:val="24"/>
          <w:szCs w:val="24"/>
        </w:rPr>
        <w:t>В периода са извършени и дейности, с цел предотвратяване на отпадането от училище, като: включване на учениците в занимания по интереси, индивидуална работа от страна на учителите и класните ръководители със застрашените от отпадане, работа на училищната комисия по превенция, разговор на учениците с комисията за работа с проблемни деца. На застрашените ученици е осигурен достъп до спортната база на училищата, компютърните кабинети и библиотеките, провеждани са разговори с тях от страна на педагог</w:t>
      </w:r>
      <w:r>
        <w:rPr>
          <w:rFonts w:ascii="Times New Roman" w:hAnsi="Times New Roman"/>
          <w:sz w:val="24"/>
          <w:szCs w:val="24"/>
        </w:rPr>
        <w:t xml:space="preserve">ическите съветници </w:t>
      </w:r>
      <w:r w:rsidRPr="00B83239">
        <w:rPr>
          <w:rFonts w:ascii="Times New Roman" w:hAnsi="Times New Roman"/>
          <w:sz w:val="24"/>
          <w:szCs w:val="24"/>
        </w:rPr>
        <w:t xml:space="preserve"> в училище. С цел социализиране на децата и учениците, за които българският език не е майчин, са осъществени действия, свързани с приобщаване към училищния живот и намиране на социални посредници, на които децата и младежите вярват, за да се постигне по-голяма посещаемост в училище.</w:t>
      </w:r>
    </w:p>
    <w:p w:rsidR="0064668E" w:rsidRPr="00B83239" w:rsidRDefault="0064668E" w:rsidP="0086515A">
      <w:pPr>
        <w:jc w:val="both"/>
        <w:rPr>
          <w:rFonts w:ascii="Times New Roman" w:hAnsi="Times New Roman"/>
          <w:sz w:val="24"/>
          <w:szCs w:val="24"/>
        </w:rPr>
      </w:pPr>
      <w:r w:rsidRPr="00B83239">
        <w:rPr>
          <w:rFonts w:ascii="Times New Roman" w:hAnsi="Times New Roman"/>
          <w:sz w:val="24"/>
          <w:szCs w:val="24"/>
        </w:rPr>
        <w:t>Идентифицирана е необходимостта от осигуряване на единна и надеждна база</w:t>
      </w:r>
      <w:r>
        <w:rPr>
          <w:rFonts w:ascii="Times New Roman" w:hAnsi="Times New Roman"/>
          <w:sz w:val="24"/>
          <w:szCs w:val="24"/>
        </w:rPr>
        <w:t xml:space="preserve"> </w:t>
      </w:r>
      <w:r w:rsidRPr="00B83239">
        <w:rPr>
          <w:rFonts w:ascii="Times New Roman" w:hAnsi="Times New Roman"/>
          <w:sz w:val="24"/>
          <w:szCs w:val="24"/>
        </w:rPr>
        <w:t>данни и осъществяване на политики на всички нива, за да бъдат адекватно посрещнати</w:t>
      </w:r>
      <w:r>
        <w:rPr>
          <w:rFonts w:ascii="Times New Roman" w:hAnsi="Times New Roman"/>
          <w:sz w:val="24"/>
          <w:szCs w:val="24"/>
        </w:rPr>
        <w:t xml:space="preserve"> </w:t>
      </w:r>
      <w:r w:rsidRPr="00B83239">
        <w:rPr>
          <w:rFonts w:ascii="Times New Roman" w:hAnsi="Times New Roman"/>
          <w:sz w:val="24"/>
          <w:szCs w:val="24"/>
        </w:rPr>
        <w:t>специфичните предизвикателства на различните равнища – областно,общинско и училищно. Предприети са редица мерки с цел гарантиране на индивидуалния подход към всеки отделен случай на преждевременно напускане на училище: картотекиране на учениците в риск с цел превенция за задържането им в училище / в Общината/; изграждане на постоянни училищни комисии по обхващане и задържане на подлежащите на задължително обучение ученици / училища и ДГ/; Изпратени са уведомителни писма до дирекция „Социално подпомагане” за учениците допуснали повече от пет неизвинени отсъствия в рамките на един месец / училища и ДГ/.</w:t>
      </w:r>
    </w:p>
    <w:p w:rsidR="0064668E" w:rsidRPr="00B83239" w:rsidRDefault="0064668E" w:rsidP="00BA31C7">
      <w:pPr>
        <w:ind w:firstLine="708"/>
        <w:jc w:val="both"/>
        <w:rPr>
          <w:rFonts w:ascii="Times New Roman" w:hAnsi="Times New Roman"/>
          <w:sz w:val="24"/>
          <w:szCs w:val="24"/>
        </w:rPr>
      </w:pPr>
      <w:r w:rsidRPr="00B83239">
        <w:rPr>
          <w:rFonts w:ascii="Times New Roman" w:hAnsi="Times New Roman"/>
          <w:sz w:val="24"/>
          <w:szCs w:val="24"/>
        </w:rPr>
        <w:t>През 2016 г. учениците в Община Сунгурларе бяха включени в дейности по национални програми и проекти. По проект BG051PO001-4.1.05 „Образователна интеграция на децата и учениците от етническите малцинства”</w:t>
      </w:r>
      <w:r w:rsidRPr="00B83239">
        <w:rPr>
          <w:rFonts w:ascii="Times New Roman" w:hAnsi="Times New Roman"/>
          <w:color w:val="FF0000"/>
          <w:sz w:val="24"/>
          <w:szCs w:val="24"/>
        </w:rPr>
        <w:t xml:space="preserve"> </w:t>
      </w:r>
      <w:r w:rsidRPr="00B405E4">
        <w:rPr>
          <w:rFonts w:ascii="Times New Roman" w:hAnsi="Times New Roman"/>
          <w:sz w:val="24"/>
          <w:szCs w:val="24"/>
        </w:rPr>
        <w:t>работиха в СУ „Хр.Ботев гр.Сунгурларе</w:t>
      </w:r>
      <w:r w:rsidRPr="00B83239">
        <w:rPr>
          <w:rFonts w:ascii="Times New Roman" w:hAnsi="Times New Roman"/>
          <w:color w:val="FF0000"/>
          <w:sz w:val="24"/>
          <w:szCs w:val="24"/>
        </w:rPr>
        <w:t xml:space="preserve"> </w:t>
      </w:r>
      <w:r w:rsidRPr="00B83239">
        <w:rPr>
          <w:rFonts w:ascii="Times New Roman" w:hAnsi="Times New Roman"/>
          <w:sz w:val="24"/>
          <w:szCs w:val="24"/>
        </w:rPr>
        <w:t xml:space="preserve">с цел превенция на отпадането от училище от </w:t>
      </w:r>
      <w:r w:rsidRPr="00B83239">
        <w:rPr>
          <w:rFonts w:ascii="Times New Roman" w:hAnsi="Times New Roman"/>
          <w:color w:val="FF0000"/>
          <w:sz w:val="24"/>
          <w:szCs w:val="24"/>
        </w:rPr>
        <w:t xml:space="preserve"> </w:t>
      </w:r>
      <w:r w:rsidRPr="00B83239">
        <w:rPr>
          <w:rFonts w:ascii="Times New Roman" w:hAnsi="Times New Roman"/>
          <w:sz w:val="24"/>
          <w:szCs w:val="24"/>
        </w:rPr>
        <w:t>етническите малцинства. Проведените допълнителни занимания с децата и учениците,</w:t>
      </w:r>
      <w:r>
        <w:rPr>
          <w:rFonts w:ascii="Times New Roman" w:hAnsi="Times New Roman"/>
          <w:sz w:val="24"/>
          <w:szCs w:val="24"/>
        </w:rPr>
        <w:t xml:space="preserve"> </w:t>
      </w:r>
      <w:r w:rsidRPr="00B83239">
        <w:rPr>
          <w:rFonts w:ascii="Times New Roman" w:hAnsi="Times New Roman"/>
          <w:sz w:val="24"/>
          <w:szCs w:val="24"/>
        </w:rPr>
        <w:t xml:space="preserve">за които българският език не е майчин, са засилили тяхната мотивация за участие в образователния процес.  По Национална програма „С грижа за всеки ученик”, модул 3 „Осигуряване на допълнително обучение на учениците за повишаване на нивото им по общообразователна подготовка” през учебната 2015/2016г. се включиха и ДГ – Грозден, Лозарево, Чубра.Целта на проекта е повишаване качеството на образователния процес, чрез осигуряване на диференцирана грижа към личностното развитие на децата и учениците според индивидуалните и образователните им потребности. </w:t>
      </w:r>
    </w:p>
    <w:p w:rsidR="0064668E" w:rsidRPr="00B83239" w:rsidRDefault="0064668E" w:rsidP="00BA31C7">
      <w:pPr>
        <w:ind w:firstLine="708"/>
        <w:jc w:val="both"/>
        <w:rPr>
          <w:rFonts w:ascii="Times New Roman" w:hAnsi="Times New Roman"/>
          <w:sz w:val="24"/>
          <w:szCs w:val="24"/>
        </w:rPr>
      </w:pPr>
      <w:r w:rsidRPr="00B83239">
        <w:rPr>
          <w:rFonts w:ascii="Times New Roman" w:hAnsi="Times New Roman"/>
          <w:sz w:val="24"/>
          <w:szCs w:val="24"/>
        </w:rPr>
        <w:t>Сред реализираните мерки са и проекта по Национална програма „На училище без отсъствия”, чиято цел е намаляване на броя на свободните часове и намаляване на отсъствията на учениците, чрез коректното им отразяване в училищната документация.</w:t>
      </w:r>
      <w:r>
        <w:rPr>
          <w:rFonts w:ascii="Times New Roman" w:hAnsi="Times New Roman"/>
          <w:sz w:val="24"/>
          <w:szCs w:val="24"/>
        </w:rPr>
        <w:t xml:space="preserve"> </w:t>
      </w:r>
      <w:r w:rsidRPr="00B83239">
        <w:rPr>
          <w:rFonts w:ascii="Times New Roman" w:hAnsi="Times New Roman"/>
          <w:sz w:val="24"/>
          <w:szCs w:val="24"/>
        </w:rPr>
        <w:t>Всички училища  в Община Сунгурларе са включени в изпълнението му.</w:t>
      </w:r>
    </w:p>
    <w:p w:rsidR="0064668E" w:rsidRPr="00B83239" w:rsidRDefault="0064668E" w:rsidP="00BA31C7">
      <w:pPr>
        <w:ind w:firstLine="708"/>
        <w:jc w:val="both"/>
        <w:rPr>
          <w:rFonts w:ascii="Times New Roman" w:hAnsi="Times New Roman"/>
          <w:sz w:val="24"/>
          <w:szCs w:val="24"/>
        </w:rPr>
      </w:pPr>
      <w:r w:rsidRPr="00B83239">
        <w:rPr>
          <w:rFonts w:ascii="Times New Roman" w:hAnsi="Times New Roman"/>
          <w:sz w:val="24"/>
          <w:szCs w:val="24"/>
        </w:rPr>
        <w:t>Предприети са мерки, свързани с подпомагане на ученици от социално слаби семейства с учебници, учебни помагала чрез спонсорство. Така за учебната година 2015/2016г са осигурени по 10 комплекта за всеки клас от 8-12, а през учебната 2016/2017 са осигурени  за всички ученици в СУ „Христо Ботев” гр. Сунгурларе. Проведени са инициативи, свързани със здравно и гражданско образование в часа на класа, изнесени са беседи по теми, свързани със стреса и трафика на хора</w:t>
      </w:r>
    </w:p>
    <w:p w:rsidR="0064668E" w:rsidRPr="00B83239" w:rsidRDefault="0064668E" w:rsidP="002C53A8">
      <w:pPr>
        <w:rPr>
          <w:rFonts w:ascii="Times New Roman" w:hAnsi="Times New Roman"/>
          <w:b/>
          <w:sz w:val="24"/>
          <w:szCs w:val="24"/>
        </w:rPr>
      </w:pPr>
      <w:r w:rsidRPr="00B83239">
        <w:rPr>
          <w:rFonts w:ascii="Times New Roman" w:hAnsi="Times New Roman"/>
          <w:b/>
          <w:sz w:val="24"/>
          <w:szCs w:val="24"/>
        </w:rPr>
        <w:t>1.2 МЛАДЕЖИ, ЗАВЪРШВАЩИ ВИСШЕ ОБРАЗОВАНИЕ</w:t>
      </w:r>
    </w:p>
    <w:p w:rsidR="0064668E" w:rsidRPr="00B83239" w:rsidRDefault="0064668E" w:rsidP="002C53A8">
      <w:pPr>
        <w:rPr>
          <w:rFonts w:ascii="Times New Roman" w:hAnsi="Times New Roman"/>
          <w:b/>
          <w:sz w:val="24"/>
          <w:szCs w:val="24"/>
        </w:rPr>
      </w:pPr>
      <w:r w:rsidRPr="00B83239">
        <w:rPr>
          <w:rFonts w:ascii="Times New Roman" w:hAnsi="Times New Roman"/>
          <w:b/>
          <w:sz w:val="24"/>
          <w:szCs w:val="24"/>
        </w:rPr>
        <w:t>1.3. ЗАЕТОСТ ПРИ МЛАДИТЕ ХОРА</w:t>
      </w:r>
    </w:p>
    <w:p w:rsidR="0064668E" w:rsidRPr="00B83239" w:rsidRDefault="0064668E" w:rsidP="00FA24AD">
      <w:pPr>
        <w:jc w:val="both"/>
        <w:rPr>
          <w:rFonts w:ascii="Times New Roman" w:hAnsi="Times New Roman"/>
          <w:sz w:val="24"/>
          <w:szCs w:val="24"/>
        </w:rPr>
      </w:pPr>
      <w:r w:rsidRPr="00B83239">
        <w:rPr>
          <w:rFonts w:ascii="Times New Roman" w:hAnsi="Times New Roman"/>
          <w:sz w:val="24"/>
          <w:szCs w:val="24"/>
        </w:rPr>
        <w:t>1.3.1 Състояние на изследвания индикатор</w:t>
      </w:r>
    </w:p>
    <w:p w:rsidR="0064668E" w:rsidRPr="005B4751" w:rsidRDefault="0064668E" w:rsidP="00B405E4">
      <w:pPr>
        <w:ind w:firstLine="708"/>
        <w:jc w:val="both"/>
        <w:rPr>
          <w:rFonts w:ascii="Times New Roman" w:hAnsi="Times New Roman"/>
          <w:b/>
          <w:sz w:val="24"/>
          <w:szCs w:val="24"/>
          <w:lang w:val="ru-RU"/>
        </w:rPr>
      </w:pPr>
      <w:r w:rsidRPr="00B83239">
        <w:rPr>
          <w:rFonts w:ascii="Times New Roman" w:hAnsi="Times New Roman"/>
          <w:sz w:val="24"/>
          <w:szCs w:val="24"/>
        </w:rPr>
        <w:t xml:space="preserve"> В общината няма база данни за образователната структура на младежите на възраст от 20 до 29 години: с висше образование, със средно образование, с основна степен и такива с незавършена начално образование.Необходимо е да се работи в тази насока. Има 13 регистрирани безработни младежи с висше образование.</w:t>
      </w:r>
    </w:p>
    <w:p w:rsidR="0064668E" w:rsidRPr="00B83239" w:rsidRDefault="0064668E" w:rsidP="002C53A8">
      <w:pPr>
        <w:rPr>
          <w:rFonts w:ascii="Times New Roman" w:hAnsi="Times New Roman"/>
          <w:sz w:val="24"/>
          <w:szCs w:val="24"/>
        </w:rPr>
      </w:pPr>
      <w:r w:rsidRPr="00B83239">
        <w:rPr>
          <w:rFonts w:ascii="Times New Roman" w:hAnsi="Times New Roman"/>
          <w:sz w:val="24"/>
          <w:szCs w:val="24"/>
        </w:rPr>
        <w:t>1.3.2 Анализ на състоянието</w:t>
      </w:r>
    </w:p>
    <w:p w:rsidR="0064668E" w:rsidRPr="00B83239" w:rsidRDefault="0064668E" w:rsidP="00E41D94">
      <w:pPr>
        <w:ind w:firstLine="708"/>
        <w:jc w:val="both"/>
        <w:rPr>
          <w:rFonts w:ascii="Times New Roman" w:hAnsi="Times New Roman"/>
          <w:color w:val="0000FF"/>
          <w:sz w:val="24"/>
          <w:szCs w:val="24"/>
        </w:rPr>
      </w:pPr>
      <w:r w:rsidRPr="00B83239">
        <w:rPr>
          <w:rFonts w:ascii="Times New Roman" w:hAnsi="Times New Roman"/>
          <w:sz w:val="24"/>
          <w:szCs w:val="24"/>
        </w:rPr>
        <w:t>Съгласно действащото законодателство в Република България на 15 години младият човек става трудоспособен, като започването на работа на по-ранна възраст е при условията на специална закрила. Насочването на политиките за развитие би подпомогнало кариерната ориентация и би облекчило включването на трудоспособните млади хора в системата на трудовата заетост. В повечето случаи младите хора нямат практически и трудов опит по придобитата специалност след завършване на своето образование и трудно се включват на пазара на труда. Младите хора без опит са в неблагоприятно положение в условията на повишаване на предлагането на труд в контекста на световната финансова криза. Младежите с ниско образование и квалификация са сред първите, засегнати от влошените икономически условия. Необходимо е да се положат усилия относно плавното преминаване на младите хора от учебната скамейка към пазара на труда чрез разширяване на стажовете и практиките в реалния сектор. Често младите хора изпитват липса на необходимата информация за устройване на работа. Не е наложена все още практиката на работодателите да инвестират в обучението и квалификацията на младите работници и служители. Голяма част от младите хора са демотивирани от предлаганото заплащане, както и от условията на работа. Младите хора се превръщат в потенциален ресурс на заетостта в сивата част на икономиката. Недостатъчните професионални умения и практики в реална среда и невъзможността за професионален избор на учащите от най-ранната възраст принуждават част от завършилите училище да започнат “първата възможна работа”, най-често в сферата на услугите, търговията и обслужването, без изисквания към условията на труд</w:t>
      </w:r>
      <w:r w:rsidRPr="00B83239">
        <w:rPr>
          <w:rFonts w:ascii="Times New Roman" w:hAnsi="Times New Roman"/>
          <w:color w:val="0000FF"/>
          <w:sz w:val="24"/>
          <w:szCs w:val="24"/>
        </w:rPr>
        <w:t>.</w:t>
      </w:r>
    </w:p>
    <w:p w:rsidR="0064668E" w:rsidRPr="00B83239" w:rsidRDefault="0064668E" w:rsidP="0033354A">
      <w:pPr>
        <w:rPr>
          <w:rFonts w:ascii="Times New Roman" w:hAnsi="Times New Roman"/>
          <w:b/>
          <w:sz w:val="24"/>
          <w:szCs w:val="24"/>
        </w:rPr>
      </w:pPr>
      <w:r w:rsidRPr="00B83239">
        <w:rPr>
          <w:rFonts w:ascii="Times New Roman" w:hAnsi="Times New Roman"/>
          <w:b/>
          <w:sz w:val="24"/>
          <w:szCs w:val="24"/>
        </w:rPr>
        <w:t>1.3.3. Предприети мерки</w:t>
      </w:r>
    </w:p>
    <w:p w:rsidR="0064668E" w:rsidRPr="00B83239" w:rsidRDefault="0064668E" w:rsidP="00BA31C7">
      <w:pPr>
        <w:ind w:firstLine="708"/>
        <w:rPr>
          <w:rFonts w:ascii="Times New Roman" w:hAnsi="Times New Roman"/>
          <w:sz w:val="24"/>
          <w:szCs w:val="24"/>
        </w:rPr>
      </w:pPr>
      <w:r w:rsidRPr="00B83239">
        <w:rPr>
          <w:rFonts w:ascii="Times New Roman" w:hAnsi="Times New Roman"/>
          <w:sz w:val="24"/>
          <w:szCs w:val="24"/>
        </w:rPr>
        <w:t>През периода януари – декември 2016 г. продължава действието на схемите и проектите по ОП РЧР, по които са включени в обучение по ключови компетентности, професионална квалификация и/или са устроени на работа 124 младежи до 29 години – схема „Младежка заетост” и схема „Обучение и заетост на младите хора”.  4  младежи са включени в програми  за заетост по Закона за насърчаване на заетостта, а 11младежи    са включени по Мерки по заетост по Закона за насърчаване на заетостта.</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1.4 БЕЗРАБОТИЦА СРЕД МЛАДИТЕ ХОРА</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1.4.1 Състояние на изследвания индикатор</w:t>
      </w:r>
    </w:p>
    <w:p w:rsidR="0064668E" w:rsidRPr="009F38CA" w:rsidRDefault="0064668E" w:rsidP="009F38CA">
      <w:pPr>
        <w:ind w:firstLine="708"/>
        <w:jc w:val="both"/>
        <w:rPr>
          <w:rFonts w:ascii="Times New Roman" w:hAnsi="Times New Roman"/>
          <w:sz w:val="24"/>
          <w:szCs w:val="24"/>
        </w:rPr>
      </w:pPr>
      <w:r w:rsidRPr="00B83239">
        <w:rPr>
          <w:rFonts w:ascii="Times New Roman" w:hAnsi="Times New Roman"/>
          <w:sz w:val="24"/>
          <w:szCs w:val="24"/>
        </w:rPr>
        <w:t>По данни на „Бюрото по труда” клон Сунгурларе регистрираните безработни са 674, от които 98 безработните младежи, именно до 19г – 5, от 20 до 24- 31,от 25 до 29- 62. Процентното съотношение е 14,54. Безработица на територията на общината се обуславя допълнително и от два фактора – младежите в трудоспособна възраст напускат общината, за да търсят реализация в по – големите градове и чужбина, а младите, живеещи на територията на общината, в по – голямата си част са ученици</w:t>
      </w:r>
      <w:r>
        <w:rPr>
          <w:rFonts w:ascii="Times New Roman" w:hAnsi="Times New Roman"/>
          <w:sz w:val="24"/>
          <w:szCs w:val="24"/>
        </w:rPr>
        <w:t>.</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1.4.2 Анализ на състоянието</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Липсата на стимули и възможности за реализация пред завършилите или напуснали образование превръща Община Сунгурларе в една от общините със сравнително висок дял на младежите, които нито работят, нито преминават през някакъв вид обучение. Неактивността сред младите се превръща в основен проблем в общината. Младежите изпитват най-сериозни затруднения при реализацията си на пазара на труда. Процентът на заетост сред младежите с основно образование и по ниско  е много по висок . Тези младежи изпитват сериозни затруднения да се реализират на паз</w:t>
      </w:r>
      <w:r>
        <w:rPr>
          <w:rFonts w:ascii="Times New Roman" w:hAnsi="Times New Roman"/>
          <w:sz w:val="24"/>
          <w:szCs w:val="24"/>
        </w:rPr>
        <w:t>ара на труда спрямо своите връст</w:t>
      </w:r>
      <w:r w:rsidRPr="00B83239">
        <w:rPr>
          <w:rFonts w:ascii="Times New Roman" w:hAnsi="Times New Roman"/>
          <w:sz w:val="24"/>
          <w:szCs w:val="24"/>
        </w:rPr>
        <w:t>ници с по-висока степен на образование</w:t>
      </w:r>
    </w:p>
    <w:p w:rsidR="0064668E" w:rsidRPr="00B83239" w:rsidRDefault="0064668E" w:rsidP="0033354A">
      <w:pPr>
        <w:rPr>
          <w:rFonts w:ascii="Times New Roman" w:hAnsi="Times New Roman"/>
          <w:b/>
          <w:sz w:val="24"/>
          <w:szCs w:val="24"/>
        </w:rPr>
      </w:pPr>
      <w:r w:rsidRPr="00B83239">
        <w:rPr>
          <w:rFonts w:ascii="Times New Roman" w:hAnsi="Times New Roman"/>
          <w:b/>
          <w:sz w:val="24"/>
          <w:szCs w:val="24"/>
        </w:rPr>
        <w:t>Регистрирани безработни лица към 31.12.2016г.- Община Сунгурларе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1277"/>
        <w:gridCol w:w="1266"/>
        <w:gridCol w:w="1273"/>
        <w:gridCol w:w="1269"/>
        <w:gridCol w:w="1286"/>
        <w:gridCol w:w="1290"/>
      </w:tblGrid>
      <w:tr w:rsidR="0064668E" w:rsidRPr="00B83239" w:rsidTr="00292A7A">
        <w:tc>
          <w:tcPr>
            <w:tcW w:w="1505" w:type="dxa"/>
            <w:vMerge w:val="restart"/>
          </w:tcPr>
          <w:p w:rsidR="0064668E" w:rsidRPr="00B83239" w:rsidRDefault="0064668E" w:rsidP="00292A7A">
            <w:pPr>
              <w:jc w:val="center"/>
              <w:rPr>
                <w:rFonts w:ascii="Times New Roman" w:hAnsi="Times New Roman"/>
                <w:b/>
                <w:sz w:val="24"/>
                <w:szCs w:val="24"/>
              </w:rPr>
            </w:pPr>
          </w:p>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показатели</w:t>
            </w:r>
          </w:p>
        </w:tc>
        <w:tc>
          <w:tcPr>
            <w:tcW w:w="1296" w:type="dxa"/>
            <w:vMerge w:val="restart"/>
          </w:tcPr>
          <w:p w:rsidR="0064668E" w:rsidRPr="00B83239" w:rsidRDefault="0064668E" w:rsidP="00292A7A">
            <w:pPr>
              <w:jc w:val="center"/>
              <w:rPr>
                <w:rFonts w:ascii="Times New Roman" w:hAnsi="Times New Roman"/>
                <w:b/>
                <w:sz w:val="24"/>
                <w:szCs w:val="24"/>
              </w:rPr>
            </w:pPr>
          </w:p>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всичко</w:t>
            </w:r>
          </w:p>
        </w:tc>
        <w:tc>
          <w:tcPr>
            <w:tcW w:w="6487" w:type="dxa"/>
            <w:gridSpan w:val="5"/>
          </w:tcPr>
          <w:p w:rsidR="0064668E" w:rsidRPr="00B83239" w:rsidRDefault="0064668E" w:rsidP="00292A7A">
            <w:pPr>
              <w:jc w:val="center"/>
              <w:rPr>
                <w:rFonts w:ascii="Times New Roman" w:hAnsi="Times New Roman"/>
                <w:b/>
                <w:sz w:val="24"/>
                <w:szCs w:val="24"/>
              </w:rPr>
            </w:pPr>
            <w:r w:rsidRPr="00B83239">
              <w:rPr>
                <w:rFonts w:ascii="Times New Roman" w:hAnsi="Times New Roman"/>
                <w:b/>
                <w:sz w:val="24"/>
                <w:szCs w:val="24"/>
              </w:rPr>
              <w:t>По образование</w:t>
            </w:r>
          </w:p>
        </w:tc>
      </w:tr>
      <w:tr w:rsidR="0064668E" w:rsidRPr="00B83239" w:rsidTr="00292A7A">
        <w:trPr>
          <w:trHeight w:val="725"/>
        </w:trPr>
        <w:tc>
          <w:tcPr>
            <w:tcW w:w="1505" w:type="dxa"/>
            <w:vMerge/>
          </w:tcPr>
          <w:p w:rsidR="0064668E" w:rsidRPr="00B83239" w:rsidRDefault="0064668E" w:rsidP="0033354A">
            <w:pPr>
              <w:rPr>
                <w:rFonts w:ascii="Times New Roman" w:hAnsi="Times New Roman"/>
                <w:sz w:val="24"/>
                <w:szCs w:val="24"/>
              </w:rPr>
            </w:pPr>
          </w:p>
        </w:tc>
        <w:tc>
          <w:tcPr>
            <w:tcW w:w="1296" w:type="dxa"/>
            <w:vMerge/>
          </w:tcPr>
          <w:p w:rsidR="0064668E" w:rsidRPr="00B83239" w:rsidRDefault="0064668E" w:rsidP="0033354A">
            <w:pPr>
              <w:rPr>
                <w:rFonts w:ascii="Times New Roman" w:hAnsi="Times New Roman"/>
                <w:sz w:val="24"/>
                <w:szCs w:val="24"/>
              </w:rPr>
            </w:pPr>
          </w:p>
        </w:tc>
        <w:tc>
          <w:tcPr>
            <w:tcW w:w="129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висше</w:t>
            </w:r>
          </w:p>
        </w:tc>
        <w:tc>
          <w:tcPr>
            <w:tcW w:w="1297"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средно</w:t>
            </w:r>
          </w:p>
        </w:tc>
        <w:tc>
          <w:tcPr>
            <w:tcW w:w="129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 xml:space="preserve"> в т.ч. средно проф.</w:t>
            </w:r>
          </w:p>
        </w:tc>
        <w:tc>
          <w:tcPr>
            <w:tcW w:w="130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основно</w:t>
            </w:r>
          </w:p>
        </w:tc>
        <w:tc>
          <w:tcPr>
            <w:tcW w:w="130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Начално и по-ниско</w:t>
            </w:r>
          </w:p>
        </w:tc>
      </w:tr>
      <w:tr w:rsidR="0064668E" w:rsidRPr="00B83239" w:rsidTr="00292A7A">
        <w:trPr>
          <w:trHeight w:val="606"/>
        </w:trPr>
        <w:tc>
          <w:tcPr>
            <w:tcW w:w="1505"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Регистрирани</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безработни</w:t>
            </w:r>
          </w:p>
        </w:tc>
        <w:tc>
          <w:tcPr>
            <w:tcW w:w="1296"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98</w:t>
            </w:r>
          </w:p>
        </w:tc>
        <w:tc>
          <w:tcPr>
            <w:tcW w:w="1293" w:type="dxa"/>
          </w:tcPr>
          <w:p w:rsidR="0064668E" w:rsidRPr="00B83239" w:rsidRDefault="0064668E" w:rsidP="0033354A">
            <w:pPr>
              <w:rPr>
                <w:rFonts w:ascii="Times New Roman" w:hAnsi="Times New Roman"/>
                <w:sz w:val="24"/>
                <w:szCs w:val="24"/>
              </w:rPr>
            </w:pPr>
          </w:p>
        </w:tc>
        <w:tc>
          <w:tcPr>
            <w:tcW w:w="1297" w:type="dxa"/>
          </w:tcPr>
          <w:p w:rsidR="0064668E" w:rsidRPr="00B83239" w:rsidRDefault="0064668E" w:rsidP="0033354A">
            <w:pPr>
              <w:rPr>
                <w:rFonts w:ascii="Times New Roman" w:hAnsi="Times New Roman"/>
                <w:sz w:val="24"/>
                <w:szCs w:val="24"/>
              </w:rPr>
            </w:pPr>
          </w:p>
        </w:tc>
        <w:tc>
          <w:tcPr>
            <w:tcW w:w="1292" w:type="dxa"/>
          </w:tcPr>
          <w:p w:rsidR="0064668E" w:rsidRPr="00B83239" w:rsidRDefault="0064668E" w:rsidP="0033354A">
            <w:pPr>
              <w:rPr>
                <w:rFonts w:ascii="Times New Roman" w:hAnsi="Times New Roman"/>
                <w:sz w:val="24"/>
                <w:szCs w:val="24"/>
              </w:rPr>
            </w:pPr>
          </w:p>
        </w:tc>
        <w:tc>
          <w:tcPr>
            <w:tcW w:w="1302" w:type="dxa"/>
          </w:tcPr>
          <w:p w:rsidR="0064668E" w:rsidRPr="00B83239" w:rsidRDefault="0064668E" w:rsidP="0033354A">
            <w:pPr>
              <w:rPr>
                <w:rFonts w:ascii="Times New Roman" w:hAnsi="Times New Roman"/>
                <w:sz w:val="24"/>
                <w:szCs w:val="24"/>
              </w:rPr>
            </w:pPr>
          </w:p>
        </w:tc>
        <w:tc>
          <w:tcPr>
            <w:tcW w:w="1303" w:type="dxa"/>
          </w:tcPr>
          <w:p w:rsidR="0064668E" w:rsidRPr="00B83239" w:rsidRDefault="0064668E" w:rsidP="0033354A">
            <w:pPr>
              <w:rPr>
                <w:rFonts w:ascii="Times New Roman" w:hAnsi="Times New Roman"/>
                <w:sz w:val="24"/>
                <w:szCs w:val="24"/>
              </w:rPr>
            </w:pPr>
          </w:p>
        </w:tc>
      </w:tr>
      <w:tr w:rsidR="0064668E" w:rsidRPr="00B83239" w:rsidTr="00292A7A">
        <w:tc>
          <w:tcPr>
            <w:tcW w:w="1505"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до 19г.</w:t>
            </w:r>
          </w:p>
        </w:tc>
        <w:tc>
          <w:tcPr>
            <w:tcW w:w="1296"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5</w:t>
            </w:r>
          </w:p>
        </w:tc>
        <w:tc>
          <w:tcPr>
            <w:tcW w:w="129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0</w:t>
            </w:r>
          </w:p>
        </w:tc>
        <w:tc>
          <w:tcPr>
            <w:tcW w:w="1297"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1</w:t>
            </w:r>
          </w:p>
        </w:tc>
        <w:tc>
          <w:tcPr>
            <w:tcW w:w="129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0</w:t>
            </w:r>
          </w:p>
        </w:tc>
        <w:tc>
          <w:tcPr>
            <w:tcW w:w="130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3</w:t>
            </w:r>
          </w:p>
        </w:tc>
        <w:tc>
          <w:tcPr>
            <w:tcW w:w="130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1</w:t>
            </w:r>
          </w:p>
        </w:tc>
      </w:tr>
      <w:tr w:rsidR="0064668E" w:rsidRPr="00B83239" w:rsidTr="00292A7A">
        <w:tc>
          <w:tcPr>
            <w:tcW w:w="1505"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от 20 до 24г.</w:t>
            </w:r>
          </w:p>
        </w:tc>
        <w:tc>
          <w:tcPr>
            <w:tcW w:w="1296"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31</w:t>
            </w:r>
          </w:p>
        </w:tc>
        <w:tc>
          <w:tcPr>
            <w:tcW w:w="129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0</w:t>
            </w:r>
          </w:p>
        </w:tc>
        <w:tc>
          <w:tcPr>
            <w:tcW w:w="1297"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15</w:t>
            </w:r>
          </w:p>
        </w:tc>
        <w:tc>
          <w:tcPr>
            <w:tcW w:w="129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5</w:t>
            </w:r>
          </w:p>
        </w:tc>
        <w:tc>
          <w:tcPr>
            <w:tcW w:w="130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6</w:t>
            </w:r>
          </w:p>
        </w:tc>
        <w:tc>
          <w:tcPr>
            <w:tcW w:w="130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10</w:t>
            </w:r>
          </w:p>
        </w:tc>
      </w:tr>
      <w:tr w:rsidR="0064668E" w:rsidRPr="00B83239" w:rsidTr="00292A7A">
        <w:tc>
          <w:tcPr>
            <w:tcW w:w="1505"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от 25 до 29г.</w:t>
            </w:r>
          </w:p>
        </w:tc>
        <w:tc>
          <w:tcPr>
            <w:tcW w:w="1296"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62</w:t>
            </w:r>
          </w:p>
        </w:tc>
        <w:tc>
          <w:tcPr>
            <w:tcW w:w="129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4</w:t>
            </w:r>
          </w:p>
        </w:tc>
        <w:tc>
          <w:tcPr>
            <w:tcW w:w="1297"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19</w:t>
            </w:r>
          </w:p>
        </w:tc>
        <w:tc>
          <w:tcPr>
            <w:tcW w:w="129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9</w:t>
            </w:r>
          </w:p>
        </w:tc>
        <w:tc>
          <w:tcPr>
            <w:tcW w:w="1302"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6</w:t>
            </w:r>
          </w:p>
        </w:tc>
        <w:tc>
          <w:tcPr>
            <w:tcW w:w="1303" w:type="dxa"/>
          </w:tcPr>
          <w:p w:rsidR="0064668E" w:rsidRPr="00B83239" w:rsidRDefault="0064668E" w:rsidP="0033354A">
            <w:pPr>
              <w:rPr>
                <w:rFonts w:ascii="Times New Roman" w:hAnsi="Times New Roman"/>
                <w:sz w:val="24"/>
                <w:szCs w:val="24"/>
              </w:rPr>
            </w:pPr>
            <w:r w:rsidRPr="00B83239">
              <w:rPr>
                <w:rFonts w:ascii="Times New Roman" w:hAnsi="Times New Roman"/>
                <w:sz w:val="24"/>
                <w:szCs w:val="24"/>
              </w:rPr>
              <w:t>33</w:t>
            </w:r>
          </w:p>
        </w:tc>
      </w:tr>
    </w:tbl>
    <w:p w:rsidR="0064668E" w:rsidRPr="00B83239" w:rsidRDefault="0064668E" w:rsidP="0033354A">
      <w:pPr>
        <w:rPr>
          <w:rFonts w:ascii="Times New Roman" w:hAnsi="Times New Roman"/>
          <w:sz w:val="24"/>
          <w:szCs w:val="24"/>
        </w:rPr>
      </w:pPr>
    </w:p>
    <w:p w:rsidR="0064668E" w:rsidRPr="00B83239" w:rsidRDefault="0064668E" w:rsidP="00BA31C7">
      <w:pPr>
        <w:ind w:firstLine="708"/>
        <w:rPr>
          <w:rFonts w:ascii="Times New Roman" w:hAnsi="Times New Roman"/>
          <w:sz w:val="24"/>
          <w:szCs w:val="24"/>
        </w:rPr>
      </w:pPr>
      <w:r w:rsidRPr="00B83239">
        <w:rPr>
          <w:rFonts w:ascii="Times New Roman" w:hAnsi="Times New Roman"/>
          <w:sz w:val="24"/>
          <w:szCs w:val="24"/>
        </w:rPr>
        <w:t>Бюрата по труда са сравнително ниско популярни сред младежката възрастова група като институция, която може да им осигури работа. Най-често работа се търси чрез приятели и интернет, следвани от Бюрата по труда и чрез близки и роднини.</w:t>
      </w:r>
    </w:p>
    <w:p w:rsidR="0064668E" w:rsidRPr="00B83239" w:rsidRDefault="0064668E" w:rsidP="0033354A">
      <w:pPr>
        <w:rPr>
          <w:rFonts w:ascii="Times New Roman" w:hAnsi="Times New Roman"/>
          <w:b/>
          <w:sz w:val="24"/>
          <w:szCs w:val="24"/>
        </w:rPr>
      </w:pPr>
      <w:r w:rsidRPr="00B83239">
        <w:rPr>
          <w:rFonts w:ascii="Times New Roman" w:hAnsi="Times New Roman"/>
          <w:b/>
          <w:sz w:val="24"/>
          <w:szCs w:val="24"/>
        </w:rPr>
        <w:t>1.4.3 Предприети мерки</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Безработните младежи до 29 г., с подгрупа до 25 г., които не се обучават, нито са заети, са една от основните целеви групи на активната политика на пазара на труда през 2016г. И през 2016 г. всички дейности на политиката за намаляване на безработицата сред младежите се изпълняват в контекста на Националния план за изпълнение на европейската гаранция за младежта . Изпълнението на националната гаранция за младежта започна през м. януари 2016 г. с мерки и програми, финансирани със средства от държавния бюджет. Първата схема по Оперативна програма „Развитие на човешките ресурси” 2014 - 2020 г. (ОП РЧР) - „Младежка заетост”  е насочена към безработните младежи. Чрез схемата се осигурява стаж и обучение на работното място за 124 младежи на възраст до 29 години (включително).</w:t>
      </w:r>
    </w:p>
    <w:p w:rsidR="0064668E" w:rsidRPr="00B83239" w:rsidRDefault="0064668E" w:rsidP="00BA31C7">
      <w:pPr>
        <w:ind w:firstLine="708"/>
        <w:jc w:val="both"/>
        <w:rPr>
          <w:rFonts w:ascii="Times New Roman" w:hAnsi="Times New Roman"/>
          <w:sz w:val="24"/>
          <w:szCs w:val="24"/>
        </w:rPr>
      </w:pPr>
      <w:r w:rsidRPr="00B83239">
        <w:rPr>
          <w:rFonts w:ascii="Times New Roman" w:hAnsi="Times New Roman"/>
          <w:sz w:val="24"/>
          <w:szCs w:val="24"/>
        </w:rPr>
        <w:t xml:space="preserve">Трудовите посредници от Дирекция „Бюро по труда”-клон Сунгурларе информират всеки младеж относно  предоставяните услуги и възможности за реализация на пазара на труда. През периода януари-декември 2016 г. трудовите посредници в бюрата по труда са предоставили ежемесечно консултантски услуги на 300 младежи, включващи подпомагане за самостоятелно търсене на работа, консултиране за професионално развитие, информиране за обявени свободни работни места и изискванията за заемането им, консултиране за програми и мерки за заетост и обучение, консултиране за възможностите за включване в проекти на ОП РЧР, насочване за включване в групови мероприятия за професионално ориентиране и мотивиране на всички младежи до 29 години, регистрирани в бюрата по труда. </w:t>
      </w:r>
    </w:p>
    <w:p w:rsidR="0064668E" w:rsidRPr="00B83239" w:rsidRDefault="0064668E" w:rsidP="00467DC8">
      <w:pPr>
        <w:jc w:val="both"/>
        <w:rPr>
          <w:rFonts w:ascii="Times New Roman" w:hAnsi="Times New Roman"/>
          <w:b/>
          <w:sz w:val="24"/>
          <w:szCs w:val="24"/>
        </w:rPr>
      </w:pPr>
      <w:r w:rsidRPr="00B83239">
        <w:rPr>
          <w:rFonts w:ascii="Times New Roman" w:hAnsi="Times New Roman"/>
          <w:b/>
          <w:sz w:val="24"/>
          <w:szCs w:val="24"/>
        </w:rPr>
        <w:t>1.5 САМОНАЕМАНЕ И ПРЕДПРИЕМАЧЕСТВО</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 xml:space="preserve">1.5.1 Състояние на индикатора </w:t>
      </w:r>
    </w:p>
    <w:p w:rsidR="0064668E" w:rsidRPr="00B83239" w:rsidRDefault="0064668E" w:rsidP="00FA24AD">
      <w:pPr>
        <w:ind w:firstLine="708"/>
        <w:rPr>
          <w:rFonts w:ascii="Times New Roman" w:hAnsi="Times New Roman"/>
          <w:sz w:val="24"/>
          <w:szCs w:val="24"/>
        </w:rPr>
      </w:pPr>
      <w:r w:rsidRPr="00B83239">
        <w:rPr>
          <w:rFonts w:ascii="Times New Roman" w:hAnsi="Times New Roman"/>
          <w:sz w:val="24"/>
          <w:szCs w:val="24"/>
        </w:rPr>
        <w:t>Плановете и инициативите на младите хора за предприемачество са ключови за развитието на икономиката на страната в перспектива. Не е малък делът на младежите, които възнамеряват да започнат частен бизнес.</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1.5.2 Анализ на състоянието</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Предприемачеството е мощен двигател за икономически растеж и създаване на работни места, като насърчаването на предприемаческо мислене повишава пригодността на младите хора за заетост. Предприемачеството, а по-конкретно малките и средните предприятия, са гръбнакът на икономиката на ЕС и представляват най-важният източник за нова заетост.</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В тази връзка, все повече се наблюдава необходимост от промяна в представата на обществото за предприемачите, както и образованието по предприемачество да се застъпи по-сериозно, а групите, които са по-слабо представени, като например младите хора, жените и хората от етническите малцинства, да получат специално внимание и помощ, за да създадат, разработят или разширят фирма или предприятие</w:t>
      </w:r>
    </w:p>
    <w:p w:rsidR="0064668E" w:rsidRPr="00B83239" w:rsidRDefault="0064668E" w:rsidP="0033354A">
      <w:pPr>
        <w:rPr>
          <w:rFonts w:ascii="Times New Roman" w:hAnsi="Times New Roman"/>
          <w:b/>
          <w:sz w:val="24"/>
          <w:szCs w:val="24"/>
        </w:rPr>
      </w:pPr>
      <w:r w:rsidRPr="00B83239">
        <w:rPr>
          <w:rFonts w:ascii="Times New Roman" w:hAnsi="Times New Roman"/>
          <w:b/>
          <w:sz w:val="24"/>
          <w:szCs w:val="24"/>
        </w:rPr>
        <w:t>1.6 ПРОФЕСИОНАЛНО ОРИЕНТИРАНЕ И РЕАЛИЗАЦИЯ</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1.6.1 Състояние на изследвания индикатор</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Професионалното ориентиране е определящо за подготовката на кадри с квалификация, съответстваща на изискванията на пазара на труда. Търсенето на работна сила се изменя в зависимост от общото състояние на икономиката, сезонните фактори и развитието на субсидираната заетост. Решението на работодателя за реализиране на труд, с определени количествени и качествени характеристики, е от решаващо значение. Тези специфични фактори, заедно с европейските и световните тенденции за непрекъснато нарастване на изискванията към пригодността за заетост, определят необходимостта от продължаващо професионално обучение, както във всички възрастови групи на работната сила, така и в териториален аспект.</w:t>
      </w:r>
    </w:p>
    <w:p w:rsidR="0064668E" w:rsidRPr="00B83239" w:rsidRDefault="0064668E" w:rsidP="0033354A">
      <w:pPr>
        <w:rPr>
          <w:rFonts w:ascii="Times New Roman" w:hAnsi="Times New Roman"/>
          <w:sz w:val="24"/>
          <w:szCs w:val="24"/>
        </w:rPr>
      </w:pPr>
      <w:r w:rsidRPr="00B83239">
        <w:rPr>
          <w:rFonts w:ascii="Times New Roman" w:hAnsi="Times New Roman"/>
          <w:sz w:val="24"/>
          <w:szCs w:val="24"/>
        </w:rPr>
        <w:t>Услугите по професионално ориентиране в СУ „Христо Ботев” гр. Сунгурларе   се предоставят от учители и класни ръководители, педагогически съветник в училище.</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1.6.2 Анализ на състоянието</w:t>
      </w:r>
    </w:p>
    <w:p w:rsidR="0064668E" w:rsidRPr="00B83239" w:rsidRDefault="0064668E" w:rsidP="00FA24AD">
      <w:pPr>
        <w:ind w:firstLine="708"/>
        <w:jc w:val="both"/>
        <w:rPr>
          <w:rFonts w:ascii="Times New Roman" w:hAnsi="Times New Roman"/>
          <w:sz w:val="24"/>
          <w:szCs w:val="24"/>
        </w:rPr>
      </w:pPr>
      <w:r w:rsidRPr="00B83239">
        <w:rPr>
          <w:rFonts w:ascii="Times New Roman" w:hAnsi="Times New Roman"/>
          <w:sz w:val="24"/>
          <w:szCs w:val="24"/>
        </w:rPr>
        <w:t xml:space="preserve"> Образованието често не е свързано с това, което младежите работят. Това е косвен индикатор, че младите хора или не са имали ясна ориентация с какво биха искали да се занимават, когато са избирали образованието си или все още не са успели да намерят работа по своята специалност</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1.6.3 Предприети мерки</w:t>
      </w:r>
    </w:p>
    <w:p w:rsidR="0064668E" w:rsidRPr="00B83239" w:rsidRDefault="0064668E" w:rsidP="00381864">
      <w:pPr>
        <w:ind w:firstLine="708"/>
        <w:jc w:val="both"/>
        <w:rPr>
          <w:rFonts w:ascii="Times New Roman" w:hAnsi="Times New Roman"/>
          <w:sz w:val="24"/>
          <w:szCs w:val="24"/>
        </w:rPr>
      </w:pPr>
      <w:r w:rsidRPr="00B83239">
        <w:rPr>
          <w:rFonts w:ascii="Times New Roman" w:hAnsi="Times New Roman"/>
          <w:sz w:val="24"/>
          <w:szCs w:val="24"/>
        </w:rPr>
        <w:t>Подготовката на младите хора в училищна възраст да направят образователен и  професионален избор се осъществява чрез обучението по отделните учебни предмети, практическото обучение по професии, различните извънкласни форми на работа, олимпиади на училищно, регионално, национално ниво. Организират се форуми по професионално ориентиране , срещи –разговори с работодатели , среща с Миню Балкански и др.</w:t>
      </w:r>
    </w:p>
    <w:p w:rsidR="0064668E" w:rsidRPr="00B83239" w:rsidRDefault="0064668E" w:rsidP="00F26D0E">
      <w:pPr>
        <w:rPr>
          <w:rFonts w:ascii="Times New Roman" w:hAnsi="Times New Roman"/>
          <w:b/>
          <w:sz w:val="24"/>
          <w:szCs w:val="24"/>
        </w:rPr>
      </w:pPr>
      <w:r w:rsidRPr="00B83239">
        <w:rPr>
          <w:rFonts w:ascii="Times New Roman" w:hAnsi="Times New Roman"/>
          <w:b/>
          <w:sz w:val="24"/>
          <w:szCs w:val="24"/>
        </w:rPr>
        <w:t>ПРИОРИТЕТ II:ПОДОБРЯВАНЕ НА ДОСТЪПА ДО ИНФОРМАЦИЯ И КАЧЕСТВЕНИ УСЛУГИ</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2.1. РАЗШИРЯВАНЕ НА ОБХВАТА И ПОВИШАВАНЕ НА КАЧЕСТВОТО И</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ДОСТЪПНОСТТА НА УСЛУГИТЕ В ПОДКРЕПА НА РАЗВИТИЕТО НА МЛАДИТЕ</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ХОРА</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2.1.2 Анализ на състоянието</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Търсенето на специализирана информация, консултации и услуги сред младите хора е много слабо.  Използването на интернет и компютър е основен източник на информация за днешното младо поколение. 90% от младите хора в Общината имат достъп до компютър с интернет, болшинството категорично заявяват, че могат да работят с компютър, а само на много малка част компютърната им грамотност е слаба.</w:t>
      </w:r>
    </w:p>
    <w:p w:rsidR="0064668E" w:rsidRPr="00B83239" w:rsidRDefault="0064668E" w:rsidP="001D09D5">
      <w:pPr>
        <w:ind w:firstLine="708"/>
        <w:jc w:val="both"/>
        <w:rPr>
          <w:rFonts w:ascii="Times New Roman" w:hAnsi="Times New Roman"/>
          <w:sz w:val="24"/>
          <w:szCs w:val="24"/>
        </w:rPr>
      </w:pPr>
      <w:r w:rsidRPr="00B83239">
        <w:rPr>
          <w:rFonts w:ascii="Times New Roman" w:hAnsi="Times New Roman"/>
          <w:sz w:val="24"/>
          <w:szCs w:val="24"/>
        </w:rPr>
        <w:t>Все повече се засилва тенденцията младите хора да работят с компютър и да ползват интернет. Мрежата се ползва най-вече за комуникация и търсене на информация, но не може да се твърди, че използването й замества живото общуване. В днешно време използването на библиотеките от младите хора е много слабо.</w:t>
      </w:r>
    </w:p>
    <w:p w:rsidR="0064668E" w:rsidRPr="00B83239" w:rsidRDefault="0064668E" w:rsidP="00381864">
      <w:pPr>
        <w:ind w:firstLine="708"/>
        <w:jc w:val="both"/>
        <w:rPr>
          <w:rFonts w:ascii="Times New Roman" w:hAnsi="Times New Roman"/>
          <w:sz w:val="24"/>
          <w:szCs w:val="24"/>
        </w:rPr>
      </w:pPr>
      <w:r w:rsidRPr="00B83239">
        <w:rPr>
          <w:rFonts w:ascii="Times New Roman" w:hAnsi="Times New Roman"/>
          <w:sz w:val="24"/>
          <w:szCs w:val="24"/>
        </w:rPr>
        <w:t xml:space="preserve"> От 2010г. в резултат на инициативата „Глобални библиотеки” в  гр. Сунгурларе и в селата Лозарево, Подвис  и Прилеп се оборудваха компютърни зали със свободен режим на ползване и достъп до интернет. Тези зали се ползват предимно от младите хора. Все още има населени места в община Сунгурларе, в които поради  ограничения на релефа няма интернет-покритие. Младите хора в тези села са практически изолирани</w:t>
      </w:r>
    </w:p>
    <w:p w:rsidR="0064668E" w:rsidRPr="00B83239" w:rsidRDefault="0064668E" w:rsidP="00F26D0E">
      <w:pPr>
        <w:rPr>
          <w:rFonts w:ascii="Times New Roman" w:hAnsi="Times New Roman"/>
          <w:sz w:val="24"/>
          <w:szCs w:val="24"/>
        </w:rPr>
      </w:pPr>
      <w:r w:rsidRPr="00B83239">
        <w:rPr>
          <w:rFonts w:ascii="Times New Roman" w:hAnsi="Times New Roman"/>
          <w:sz w:val="24"/>
          <w:szCs w:val="24"/>
        </w:rPr>
        <w:t xml:space="preserve">2.1.3 Предприети мерки </w:t>
      </w:r>
    </w:p>
    <w:p w:rsidR="0064668E" w:rsidRPr="00B83239" w:rsidRDefault="0064668E" w:rsidP="002A15C4">
      <w:pPr>
        <w:ind w:firstLine="708"/>
        <w:jc w:val="both"/>
        <w:rPr>
          <w:rFonts w:ascii="Times New Roman" w:hAnsi="Times New Roman"/>
          <w:color w:val="FF0000"/>
          <w:sz w:val="24"/>
          <w:szCs w:val="24"/>
        </w:rPr>
      </w:pPr>
      <w:r w:rsidRPr="00B83239">
        <w:rPr>
          <w:rFonts w:ascii="Times New Roman" w:hAnsi="Times New Roman"/>
          <w:sz w:val="24"/>
          <w:szCs w:val="24"/>
        </w:rPr>
        <w:t xml:space="preserve">За  поредна година Министерство на образованието и науката реализира и проект „Квалификация на педагогическите специалисти”. Операцията е насочена към повишаване на качеството на образователно-възпитателния процес, ефективността на училищното образование и предучилищното възпитание и подготовка и качеството на тяхното управление. </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Основните мерки, които Община Сунгурларе прилага за осигуряване на информационни услуги по отношение на рисковете, свързани с начините за предпазване от ХИВ и други сексуално предавани инфекции, както и по отношение на сексуалното и репродуктивно здраве и правата на младите хора на възраст 15-29 години, са кампанийни дейности. На общинско  ниво, в рамките на АНТИСПИН кампании, са осиг</w:t>
      </w:r>
      <w:r>
        <w:rPr>
          <w:rFonts w:ascii="Times New Roman" w:hAnsi="Times New Roman"/>
          <w:sz w:val="24"/>
          <w:szCs w:val="24"/>
        </w:rPr>
        <w:t>урени информационни услуги на 15</w:t>
      </w:r>
      <w:r w:rsidRPr="00B83239">
        <w:rPr>
          <w:rFonts w:ascii="Times New Roman" w:hAnsi="Times New Roman"/>
          <w:sz w:val="24"/>
          <w:szCs w:val="24"/>
        </w:rPr>
        <w:t>0 млади хора от страна на здравните медиатори и медицинските сестри в здравните кабинети към училищата  в гр.Сунгурларе, Грозден и Лозарево.</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На сайта на Община Сунгурларе, както и в общинския вестник се публикува цялата информация, касаеща младежката общност. Така, при проявен интерес от тяхна страна младежите до 29 г. се запознават с публичните институции, с възможностите и с  правата им   като част от местната общност и като граждани на РБългария и ЕС.</w:t>
      </w:r>
    </w:p>
    <w:p w:rsidR="0064668E" w:rsidRPr="00B83239" w:rsidRDefault="0064668E" w:rsidP="000C6604">
      <w:pPr>
        <w:ind w:firstLine="708"/>
        <w:jc w:val="both"/>
        <w:rPr>
          <w:rFonts w:ascii="Times New Roman" w:hAnsi="Times New Roman"/>
          <w:sz w:val="24"/>
          <w:szCs w:val="24"/>
        </w:rPr>
      </w:pPr>
      <w:r w:rsidRPr="00B83239">
        <w:rPr>
          <w:rFonts w:ascii="Times New Roman" w:hAnsi="Times New Roman"/>
          <w:sz w:val="24"/>
          <w:szCs w:val="24"/>
        </w:rPr>
        <w:t>През 2016 г. са реализирани кампании по повод промяна на рисковото поведение, намаляване на агресията, развиване на социални умения и повишаване на информираността. Проведени са беседи и прожекции на филми в селата Лозарево, Грозден и гр. Сунгурларе.</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През 2016 г. е  предоставена стипендия от Министерството на младежта и спорта на един ученик  Жоро Спасов от СУ „Хр.Ботев” гр. Сунгурларе. Право на стипендии и еднократно финансово подпомагане имат деца, класирани на първо, второ или трето място на национални и международни конкурси, олимпиади или състезания, включени в Програмата на мерки за закрила на деца с изявени дарби от държавните и общинските училища за съответната година.   За развитието на творческите умения и културното изразяване на младите хора,през 2016 г. е подкрепено институционално и финансово организирането на фестивали, събори, конкурси, спектакли и други събития, които дават възможност за изява и развитие на млади таланти в нашата община. Те се организират от училища, читалища, ОДК и  често пъти със съдействието на общинската  администрация. За подобряване на информационната среда през 2016 г , чрез електронната страница на Община Сунгурларе, са популяризирани</w:t>
      </w:r>
      <w:r w:rsidRPr="000C6604">
        <w:rPr>
          <w:rFonts w:ascii="Times New Roman" w:hAnsi="Times New Roman"/>
          <w:color w:val="FF0000"/>
          <w:sz w:val="24"/>
          <w:szCs w:val="24"/>
        </w:rPr>
        <w:t xml:space="preserve"> </w:t>
      </w:r>
      <w:r w:rsidRPr="00B405E4">
        <w:rPr>
          <w:rFonts w:ascii="Times New Roman" w:hAnsi="Times New Roman"/>
          <w:sz w:val="24"/>
          <w:szCs w:val="24"/>
        </w:rPr>
        <w:t xml:space="preserve">над </w:t>
      </w:r>
      <w:r w:rsidRPr="00B405E4">
        <w:rPr>
          <w:rFonts w:ascii="Times New Roman" w:hAnsi="Times New Roman"/>
          <w:sz w:val="24"/>
          <w:szCs w:val="24"/>
          <w:lang w:val="ru-RU"/>
        </w:rPr>
        <w:t>20</w:t>
      </w:r>
      <w:r w:rsidRPr="000C6604">
        <w:rPr>
          <w:rFonts w:ascii="Times New Roman" w:hAnsi="Times New Roman"/>
          <w:sz w:val="24"/>
          <w:szCs w:val="24"/>
        </w:rPr>
        <w:t xml:space="preserve"> прояви </w:t>
      </w:r>
      <w:r w:rsidRPr="00B83239">
        <w:rPr>
          <w:rFonts w:ascii="Times New Roman" w:hAnsi="Times New Roman"/>
          <w:sz w:val="24"/>
          <w:szCs w:val="24"/>
        </w:rPr>
        <w:t xml:space="preserve">(конкурси, фестивали и др.). </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За поредна година Министерството на културата подкрепя дейност по програма „Глобални библиотеки – България” - съвместна програма на Министерството на културата и Фондация „Бил и Мелинда Гейтс”, чиято стратегическа цел е предоставянето на лесен и равноправен достъп до информация, знание, комуникация и електронни услуги чрез безплатно ползване на интернет в обществените библиотеки.</w:t>
      </w:r>
    </w:p>
    <w:p w:rsidR="0064668E" w:rsidRPr="00B83239" w:rsidRDefault="0064668E" w:rsidP="00640ADD">
      <w:pPr>
        <w:rPr>
          <w:rFonts w:ascii="Times New Roman" w:hAnsi="Times New Roman"/>
          <w:b/>
          <w:sz w:val="24"/>
          <w:szCs w:val="24"/>
        </w:rPr>
      </w:pPr>
      <w:r w:rsidRPr="00B83239">
        <w:rPr>
          <w:rFonts w:ascii="Times New Roman" w:hAnsi="Times New Roman"/>
          <w:b/>
          <w:sz w:val="24"/>
          <w:szCs w:val="24"/>
        </w:rPr>
        <w:t>ПРИОРИТЕТ III: НАСЪРЧАВАНЕ НА ЗДРАВОСЛОВЕН НАЧИН НА ЖИВОТ</w:t>
      </w:r>
    </w:p>
    <w:p w:rsidR="0064668E" w:rsidRPr="00B83239" w:rsidRDefault="0064668E" w:rsidP="00021108">
      <w:pPr>
        <w:jc w:val="both"/>
        <w:rPr>
          <w:rFonts w:ascii="Times New Roman" w:hAnsi="Times New Roman"/>
          <w:sz w:val="24"/>
          <w:szCs w:val="24"/>
        </w:rPr>
      </w:pPr>
      <w:r w:rsidRPr="00B83239">
        <w:rPr>
          <w:rFonts w:ascii="Times New Roman" w:hAnsi="Times New Roman"/>
          <w:sz w:val="24"/>
          <w:szCs w:val="24"/>
        </w:rPr>
        <w:t>3.1 МЛАДИ ХОРА, ПРАКТИКУВАЩИ СПОРТНИ ДЕЙНОСТИ</w:t>
      </w:r>
    </w:p>
    <w:p w:rsidR="0064668E" w:rsidRPr="00B83239" w:rsidRDefault="0064668E" w:rsidP="00021108">
      <w:pPr>
        <w:jc w:val="both"/>
        <w:rPr>
          <w:rFonts w:ascii="Times New Roman" w:hAnsi="Times New Roman"/>
          <w:sz w:val="24"/>
          <w:szCs w:val="24"/>
        </w:rPr>
      </w:pPr>
      <w:r w:rsidRPr="00B83239">
        <w:rPr>
          <w:rFonts w:ascii="Times New Roman" w:hAnsi="Times New Roman"/>
          <w:sz w:val="24"/>
          <w:szCs w:val="24"/>
        </w:rPr>
        <w:t>3.1.1 Състояние на индикатора</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Проведени са всички етапи на Ученическите игри – вътрешно-училищен, областен, зонален и финален за учебната 2015/2016 г., като са създадени възможности и условия за спортно-състезателна дейност и изява на учениците от общообразователните училища. Участие в Ученическите игри за 2016 г. взеха 25 ученици от СУ „Хр.Ботев” гр. Сунгурларе с отборите по баскетбол.</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 xml:space="preserve">В изпълнение на Приоритет III „Насърчаване на здравословния начин на живот” с оглед подобряване на здравето и физическата  дееспособност, както и пълноценно използване на свободното време  на младежите от Община Сунгурларе се  осигуриха  условия за практикуване на спорт, изява и реализиране на лични спортни резултати. Изпълнението на заложените цели се реализира чрез разработване, финансово подпомагане, координиране и контрол на програми и проекти за развитие на спорта за всички и спорта за свободното време. През 2016 г. в  общинския спортен календар са взели участие и системно се занимават с физическа активност и спорт 60 младежи. Тези състезания са допринесли за развитието на физическата подготовка, волевите качества и психическа устойчивост. От изключителна важност е да се повиши информираността на младите за ползите от спорта и туризма като форми на двигателна активност, с цел превенция на социално значимите заболявания и техните проявления. </w:t>
      </w:r>
    </w:p>
    <w:p w:rsidR="0064668E" w:rsidRPr="00B83239" w:rsidRDefault="0064668E" w:rsidP="004D3031">
      <w:pPr>
        <w:rPr>
          <w:rFonts w:ascii="Times New Roman" w:hAnsi="Times New Roman"/>
          <w:sz w:val="24"/>
          <w:szCs w:val="24"/>
        </w:rPr>
      </w:pPr>
      <w:r w:rsidRPr="00B83239">
        <w:rPr>
          <w:rFonts w:ascii="Times New Roman" w:hAnsi="Times New Roman"/>
          <w:sz w:val="24"/>
          <w:szCs w:val="24"/>
        </w:rPr>
        <w:t>3.2. НИВО НА ИНФОРМИРАНОСТ И ПРИДОБИТИ УМЕНИЯ И ЗНАНИЯ ЗА</w:t>
      </w:r>
    </w:p>
    <w:p w:rsidR="0064668E" w:rsidRPr="00B83239" w:rsidRDefault="0064668E" w:rsidP="004D3031">
      <w:pPr>
        <w:rPr>
          <w:rFonts w:ascii="Times New Roman" w:hAnsi="Times New Roman"/>
          <w:sz w:val="24"/>
          <w:szCs w:val="24"/>
        </w:rPr>
      </w:pPr>
      <w:r w:rsidRPr="00B83239">
        <w:rPr>
          <w:rFonts w:ascii="Times New Roman" w:hAnsi="Times New Roman"/>
          <w:sz w:val="24"/>
          <w:szCs w:val="24"/>
        </w:rPr>
        <w:t>ЗДРАВОСЛОВЕН НАЧИН НА ЖИВОТ</w:t>
      </w:r>
    </w:p>
    <w:p w:rsidR="0064668E" w:rsidRPr="00B83239" w:rsidRDefault="0064668E" w:rsidP="004D3031">
      <w:pPr>
        <w:rPr>
          <w:rFonts w:ascii="Times New Roman" w:hAnsi="Times New Roman"/>
          <w:sz w:val="24"/>
          <w:szCs w:val="24"/>
        </w:rPr>
      </w:pPr>
      <w:r w:rsidRPr="00B83239">
        <w:rPr>
          <w:rFonts w:ascii="Times New Roman" w:hAnsi="Times New Roman"/>
          <w:sz w:val="24"/>
          <w:szCs w:val="24"/>
        </w:rPr>
        <w:t>3.2.1 Състояние на индикатора</w:t>
      </w:r>
    </w:p>
    <w:p w:rsidR="0064668E" w:rsidRPr="00B83239" w:rsidRDefault="0064668E" w:rsidP="002A15C4">
      <w:pPr>
        <w:ind w:firstLine="708"/>
        <w:jc w:val="both"/>
        <w:rPr>
          <w:rFonts w:ascii="Times New Roman" w:hAnsi="Times New Roman"/>
          <w:color w:val="FF0000"/>
          <w:sz w:val="24"/>
          <w:szCs w:val="24"/>
        </w:rPr>
      </w:pPr>
      <w:r w:rsidRPr="00B83239">
        <w:rPr>
          <w:rFonts w:ascii="Times New Roman" w:hAnsi="Times New Roman"/>
          <w:sz w:val="24"/>
          <w:szCs w:val="24"/>
        </w:rPr>
        <w:t>Здравето в неговите многобройни аспекти се оказва пресечна точка за разрешаването на проблеми като продължителност и качество на живота,работоспособност, създаване на здраво потомство и икономически просперитет. Не малка част от младите хора страдат от хронично заболяване -астма, хипертония,  бронхит, алергия, синузит, ендокринно заболяване / това се вижда от отчетите на медицинските сестри в здравните кабинети/</w:t>
      </w:r>
      <w:r w:rsidRPr="00B83239">
        <w:rPr>
          <w:rFonts w:ascii="Times New Roman" w:hAnsi="Times New Roman"/>
          <w:color w:val="FF0000"/>
          <w:sz w:val="24"/>
          <w:szCs w:val="24"/>
        </w:rPr>
        <w:t xml:space="preserve"> </w:t>
      </w:r>
    </w:p>
    <w:p w:rsidR="0064668E" w:rsidRPr="00B83239" w:rsidRDefault="0064668E" w:rsidP="00021108">
      <w:pPr>
        <w:jc w:val="both"/>
        <w:rPr>
          <w:rFonts w:ascii="Times New Roman" w:hAnsi="Times New Roman"/>
          <w:sz w:val="24"/>
          <w:szCs w:val="24"/>
        </w:rPr>
      </w:pPr>
      <w:r w:rsidRPr="00B83239">
        <w:rPr>
          <w:rFonts w:ascii="Times New Roman" w:hAnsi="Times New Roman"/>
          <w:sz w:val="24"/>
          <w:szCs w:val="24"/>
        </w:rPr>
        <w:t>3.2.2 Анализ на състоянието</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Здравният статус е свързан с начина на живот и навиците на хората. Безспорно, наднорменото тегло е фактор, който снижава самочувствието и качеството на живот. По-важно е обаче, този проблем да не се оценява субективно като естетически, а да се подходи към него обективно – като към причина за редица здравословни проблеми. Показател за нагласите на младите хора към веществата, които пораждат зависимости, е толерантността към тяхното използване. В национално представителното изследване е обърнато внимание освен на отношението към употребата на алкохол, цигари и психотропни вещества, така и на самата им консумация. Важно е да се отбележи, че борбата с употребата на наркотици трябва да започва от най-ранна възраст и в нея е задължително участието както на семейството, така и на училището. Същевременно, не трябва да се подценяват и другите зависимости –тютюнопушенето и употребата на алкохол. Предвид деликатността на темата за употребата на наркотични вещества сред младите хора, трябва да се правят внимателно изводи. От една страна, откровеността в споделянето е добър знак, че е възможна и необходима по-нататъшна комуникация.Това е особено важно, предвид съхраняване на високия дял на онези от младите, които се определят като хора, които не са опитвали и не биха опитали наркотици.</w:t>
      </w:r>
    </w:p>
    <w:p w:rsidR="0064668E" w:rsidRPr="00B83239" w:rsidRDefault="0064668E" w:rsidP="002A15C4">
      <w:pPr>
        <w:ind w:firstLine="708"/>
        <w:jc w:val="both"/>
        <w:rPr>
          <w:rFonts w:ascii="Times New Roman" w:hAnsi="Times New Roman"/>
          <w:sz w:val="24"/>
          <w:szCs w:val="24"/>
        </w:rPr>
      </w:pPr>
      <w:r w:rsidRPr="00B83239">
        <w:rPr>
          <w:rFonts w:ascii="Times New Roman" w:hAnsi="Times New Roman"/>
          <w:sz w:val="24"/>
          <w:szCs w:val="24"/>
        </w:rPr>
        <w:t>При наличие на възможност за избор на интересни занимания от учениците, включително извънкласни форми и творчески дейности, интересът към наркотиците би имал сериозен съперник за вниманието на подрастващите. Превенция може да се постигне чрез увеличаване на обхвата на програми и проекти за спорт в свободното време, социалния туризъм, спорта за хората с увреждания и децата в риск, ученическия, студентския и елитния спорт.</w:t>
      </w:r>
    </w:p>
    <w:p w:rsidR="0064668E" w:rsidRPr="00B83239" w:rsidRDefault="0064668E" w:rsidP="004D3031">
      <w:pPr>
        <w:rPr>
          <w:rFonts w:ascii="Times New Roman" w:hAnsi="Times New Roman"/>
          <w:sz w:val="24"/>
          <w:szCs w:val="24"/>
        </w:rPr>
      </w:pPr>
      <w:r w:rsidRPr="00B83239">
        <w:rPr>
          <w:rFonts w:ascii="Times New Roman" w:hAnsi="Times New Roman"/>
          <w:sz w:val="24"/>
          <w:szCs w:val="24"/>
        </w:rPr>
        <w:t>3.2.3 Предприети мерки</w:t>
      </w:r>
    </w:p>
    <w:p w:rsidR="0064668E" w:rsidRPr="00B83239" w:rsidRDefault="0064668E" w:rsidP="002A15C4">
      <w:pPr>
        <w:ind w:firstLine="708"/>
        <w:jc w:val="both"/>
        <w:rPr>
          <w:rFonts w:ascii="Times New Roman" w:hAnsi="Times New Roman"/>
          <w:color w:val="FF0000"/>
          <w:sz w:val="24"/>
          <w:szCs w:val="24"/>
        </w:rPr>
      </w:pPr>
      <w:r w:rsidRPr="00B83239">
        <w:rPr>
          <w:rFonts w:ascii="Times New Roman" w:hAnsi="Times New Roman"/>
          <w:sz w:val="24"/>
          <w:szCs w:val="24"/>
        </w:rPr>
        <w:t>В мерките по настоящия приоритет III „Насърчаване на здравословния начин на живот” през 2016 г. са обхванати общо</w:t>
      </w:r>
      <w:r w:rsidRPr="00BA31C7">
        <w:rPr>
          <w:rFonts w:ascii="Times New Roman" w:hAnsi="Times New Roman"/>
          <w:sz w:val="24"/>
          <w:szCs w:val="24"/>
        </w:rPr>
        <w:t xml:space="preserve"> </w:t>
      </w:r>
      <w:r>
        <w:rPr>
          <w:rFonts w:ascii="Times New Roman" w:hAnsi="Times New Roman"/>
          <w:sz w:val="24"/>
          <w:szCs w:val="24"/>
        </w:rPr>
        <w:t xml:space="preserve">450 </w:t>
      </w:r>
      <w:r w:rsidRPr="00B83239">
        <w:rPr>
          <w:rFonts w:ascii="Times New Roman" w:hAnsi="Times New Roman"/>
          <w:sz w:val="24"/>
          <w:szCs w:val="24"/>
        </w:rPr>
        <w:t>млади хора. Финансирането е осигурено в рамките на</w:t>
      </w:r>
      <w:r>
        <w:rPr>
          <w:rFonts w:ascii="Times New Roman" w:hAnsi="Times New Roman"/>
          <w:sz w:val="24"/>
          <w:szCs w:val="24"/>
        </w:rPr>
        <w:t xml:space="preserve"> общинския бюджет, МКБППМН, БМЧК</w:t>
      </w:r>
      <w:r w:rsidRPr="00B83239">
        <w:rPr>
          <w:rFonts w:ascii="Times New Roman" w:hAnsi="Times New Roman"/>
          <w:sz w:val="24"/>
          <w:szCs w:val="24"/>
        </w:rPr>
        <w:t>. С цел превенция на факторите, създаващи риск за здравето на младите хора, от страна на институциите в общината са проведени 3 срещи / Сунгурларе, Грозден, Лозарево/ и 1 кръгла маса /Сунгурларе/, прожекция на филм  в гр.Сунгурларе с представители от всички училища /, 3 презентации / Сунгурларе, Грозден, Лозарево/ за насърчаване и подпомагане на сътрудничеството между младежите, здравните медиатори, здравните специалисти с цел утвърждаване на здравословен начин живот сред младите хора. В събития, проведени във връзка с Седмицата на спорта и предизвикателствата, са участвали 100 младежи. В различни кампании, инициативи, информационни беседи, дискус</w:t>
      </w:r>
      <w:r>
        <w:rPr>
          <w:rFonts w:ascii="Times New Roman" w:hAnsi="Times New Roman"/>
          <w:sz w:val="24"/>
          <w:szCs w:val="24"/>
        </w:rPr>
        <w:t>ии и срещи са участвали около 20</w:t>
      </w:r>
      <w:r w:rsidRPr="00B83239">
        <w:rPr>
          <w:rFonts w:ascii="Times New Roman" w:hAnsi="Times New Roman"/>
          <w:sz w:val="24"/>
          <w:szCs w:val="24"/>
        </w:rPr>
        <w:t>0 млади хора. В мероприятията, насочени към повишаване на сексуалната култура на мл</w:t>
      </w:r>
      <w:r>
        <w:rPr>
          <w:rFonts w:ascii="Times New Roman" w:hAnsi="Times New Roman"/>
          <w:sz w:val="24"/>
          <w:szCs w:val="24"/>
        </w:rPr>
        <w:t>адите хора, са обхванати общо 5</w:t>
      </w:r>
      <w:r w:rsidRPr="00B83239">
        <w:rPr>
          <w:rFonts w:ascii="Times New Roman" w:hAnsi="Times New Roman"/>
          <w:sz w:val="24"/>
          <w:szCs w:val="24"/>
        </w:rPr>
        <w:t>0 младежи. Проведени са 5 информационни тематични здравни кампании</w:t>
      </w:r>
      <w:r w:rsidRPr="00B83239">
        <w:rPr>
          <w:rFonts w:ascii="Times New Roman" w:hAnsi="Times New Roman"/>
          <w:color w:val="FF0000"/>
          <w:sz w:val="24"/>
          <w:szCs w:val="24"/>
        </w:rPr>
        <w:t xml:space="preserve">. </w:t>
      </w:r>
      <w:r w:rsidRPr="00B83239">
        <w:rPr>
          <w:rFonts w:ascii="Times New Roman" w:hAnsi="Times New Roman"/>
          <w:sz w:val="24"/>
          <w:szCs w:val="24"/>
        </w:rPr>
        <w:t>Редица инициативи са проведени във връзка със създаването и   на нови форми на здравно образование в училищата, както и насърчаване на здравната просвета в  читалищата,  спортните и младежки организации, с цел развитие на знания, нагласи и умения за здравословен начин на живот, безопасно поведение и избягване на рискови за здравето фактори. Проведени са кампании по превенция на рисковото поведение сред младежи и рискови групи/ХИВ,СПИН, тютюнопушене, наркотици/, Превенция и контрол на ХИВ и сексуално предавани инфекции (СПИН), информационни кампании Ранното майчинство,кампании, осъществявани от Български младежки червен кръст (БМЧК), През 2016 г. от Регионални здравни инспекции (РЗИ) са организирани и проведени 3 дискусии с участници медицинските сестри и здравните медиатори от Община Сунгурларе, при изпълнение на дейности по Националната програма за превенция на хроничните незаразни болести 2014-2020 г., свързани с превенция на 4-те основни рискови за здравето фактори – тютюнопушене, злоупотреба с алкохол, хранене и физическа активност,</w:t>
      </w:r>
      <w:r w:rsidRPr="00B83239">
        <w:rPr>
          <w:rFonts w:ascii="Times New Roman" w:hAnsi="Times New Roman"/>
          <w:color w:val="FF0000"/>
          <w:sz w:val="24"/>
          <w:szCs w:val="24"/>
        </w:rPr>
        <w:t xml:space="preserve"> </w:t>
      </w:r>
      <w:r w:rsidRPr="00B83239">
        <w:rPr>
          <w:rFonts w:ascii="Times New Roman" w:hAnsi="Times New Roman"/>
          <w:sz w:val="24"/>
          <w:szCs w:val="24"/>
        </w:rPr>
        <w:t>Превенция на рак на шийката на матката и Училищна ваксинопрофилактика.</w:t>
      </w:r>
    </w:p>
    <w:p w:rsidR="0064668E" w:rsidRPr="00B83239" w:rsidRDefault="0064668E" w:rsidP="000D0890">
      <w:pPr>
        <w:ind w:firstLine="708"/>
        <w:jc w:val="both"/>
        <w:rPr>
          <w:rFonts w:ascii="Times New Roman" w:hAnsi="Times New Roman"/>
          <w:sz w:val="24"/>
          <w:szCs w:val="24"/>
        </w:rPr>
      </w:pPr>
      <w:r w:rsidRPr="00B83239">
        <w:rPr>
          <w:rFonts w:ascii="Times New Roman" w:hAnsi="Times New Roman"/>
          <w:sz w:val="24"/>
          <w:szCs w:val="24"/>
        </w:rPr>
        <w:t>През 2016 г. са реализирани кампании по повод промяна на рисковото поведение, намаляване на агресията, развиване на социални умения и повишаване на информираността. Проведени са беседи и прожекции на филми в селата Лозарево, Грозден и гр. Сунгурларе.</w:t>
      </w:r>
    </w:p>
    <w:p w:rsidR="0064668E" w:rsidRPr="00B83239" w:rsidRDefault="0064668E" w:rsidP="002A15C4">
      <w:pPr>
        <w:ind w:firstLine="708"/>
        <w:jc w:val="both"/>
        <w:rPr>
          <w:rFonts w:ascii="Times New Roman" w:hAnsi="Times New Roman"/>
          <w:color w:val="FF0000"/>
          <w:sz w:val="24"/>
          <w:szCs w:val="24"/>
        </w:rPr>
      </w:pPr>
    </w:p>
    <w:p w:rsidR="0064668E" w:rsidRPr="00B83239" w:rsidRDefault="0064668E" w:rsidP="00EE0B8F">
      <w:pPr>
        <w:rPr>
          <w:rFonts w:ascii="Times New Roman" w:hAnsi="Times New Roman"/>
          <w:b/>
          <w:sz w:val="24"/>
          <w:szCs w:val="24"/>
        </w:rPr>
      </w:pPr>
      <w:r w:rsidRPr="00B83239">
        <w:rPr>
          <w:rFonts w:ascii="Times New Roman" w:hAnsi="Times New Roman"/>
          <w:b/>
          <w:sz w:val="24"/>
          <w:szCs w:val="24"/>
        </w:rPr>
        <w:t>ПРИОРИТЕТ IV:</w:t>
      </w:r>
      <w:r w:rsidRPr="00B83239">
        <w:rPr>
          <w:rFonts w:ascii="Times New Roman" w:hAnsi="Times New Roman"/>
          <w:b/>
          <w:sz w:val="24"/>
          <w:szCs w:val="24"/>
          <w:lang w:val="ru-RU"/>
        </w:rPr>
        <w:t xml:space="preserve"> </w:t>
      </w:r>
      <w:r w:rsidRPr="00B83239">
        <w:rPr>
          <w:rFonts w:ascii="Times New Roman" w:hAnsi="Times New Roman"/>
          <w:b/>
          <w:sz w:val="24"/>
          <w:szCs w:val="24"/>
        </w:rPr>
        <w:t xml:space="preserve">ПРЕВЕНЦИЯ НА СОЦИАЛНОТО ИЗКЛЮЧВАНЕ НА МЛАДИТЕ ХОРА В НЕРАВНОСТОЙНО ПОЛОЖЕНИЕ </w:t>
      </w:r>
    </w:p>
    <w:p w:rsidR="0064668E" w:rsidRPr="00B83239" w:rsidRDefault="0064668E" w:rsidP="00EE0B8F">
      <w:pPr>
        <w:rPr>
          <w:rFonts w:ascii="Times New Roman" w:hAnsi="Times New Roman"/>
          <w:sz w:val="24"/>
          <w:szCs w:val="24"/>
        </w:rPr>
      </w:pPr>
      <w:r w:rsidRPr="00B83239">
        <w:rPr>
          <w:rFonts w:ascii="Times New Roman" w:hAnsi="Times New Roman"/>
          <w:sz w:val="24"/>
          <w:szCs w:val="24"/>
        </w:rPr>
        <w:t>4.1 ЦЕЛЕНАСОЧЕНИ МЕРКИ ЗА СОЦИАЛНО ПОДПОМАГАНЕ И</w:t>
      </w:r>
    </w:p>
    <w:p w:rsidR="0064668E" w:rsidRPr="00B83239" w:rsidRDefault="0064668E" w:rsidP="00EE0B8F">
      <w:pPr>
        <w:rPr>
          <w:rFonts w:ascii="Times New Roman" w:hAnsi="Times New Roman"/>
          <w:sz w:val="24"/>
          <w:szCs w:val="24"/>
        </w:rPr>
      </w:pPr>
      <w:r w:rsidRPr="00B83239">
        <w:rPr>
          <w:rFonts w:ascii="Times New Roman" w:hAnsi="Times New Roman"/>
          <w:sz w:val="24"/>
          <w:szCs w:val="24"/>
        </w:rPr>
        <w:t>СОЦИАЛНО ВКЛЮЧВАНЕ НА МЛАДИТЕ ХОРА НА ВЪЗРАСТ ОТ 18 ДО 25</w:t>
      </w:r>
    </w:p>
    <w:p w:rsidR="0064668E" w:rsidRPr="00B83239" w:rsidRDefault="0064668E" w:rsidP="00EE0B8F">
      <w:pPr>
        <w:rPr>
          <w:rFonts w:ascii="Times New Roman" w:hAnsi="Times New Roman"/>
          <w:sz w:val="24"/>
          <w:szCs w:val="24"/>
        </w:rPr>
      </w:pPr>
      <w:r w:rsidRPr="00B83239">
        <w:rPr>
          <w:rFonts w:ascii="Times New Roman" w:hAnsi="Times New Roman"/>
          <w:sz w:val="24"/>
          <w:szCs w:val="24"/>
        </w:rPr>
        <w:t>ГОДИНИ В РИСК</w:t>
      </w:r>
    </w:p>
    <w:p w:rsidR="0064668E" w:rsidRPr="00B83239" w:rsidRDefault="0064668E" w:rsidP="0065550D">
      <w:pPr>
        <w:jc w:val="both"/>
        <w:rPr>
          <w:rFonts w:ascii="Times New Roman" w:hAnsi="Times New Roman"/>
          <w:sz w:val="24"/>
          <w:szCs w:val="24"/>
        </w:rPr>
      </w:pPr>
      <w:r w:rsidRPr="00B83239">
        <w:rPr>
          <w:rFonts w:ascii="Times New Roman" w:hAnsi="Times New Roman"/>
          <w:sz w:val="24"/>
          <w:szCs w:val="24"/>
        </w:rPr>
        <w:t>4.1.1 Състояние на индикатора Перспективите за развитие пред младите хора зависят изключително много от тяхната социално-икономическа среда и редица други фактори. С оглед на социалното положение, в което се намират, част от младежките групи са изложени на риск от социално изключване и бедност повече от други, като сред основните рискови групи са:</w:t>
      </w:r>
    </w:p>
    <w:p w:rsidR="0064668E" w:rsidRPr="00B83239" w:rsidRDefault="0064668E" w:rsidP="00EE0B8F">
      <w:pPr>
        <w:rPr>
          <w:rFonts w:ascii="Times New Roman" w:hAnsi="Times New Roman"/>
          <w:sz w:val="24"/>
          <w:szCs w:val="24"/>
        </w:rPr>
      </w:pPr>
      <w:r w:rsidRPr="00B83239">
        <w:rPr>
          <w:rFonts w:ascii="Times New Roman" w:hAnsi="Times New Roman"/>
          <w:sz w:val="24"/>
          <w:szCs w:val="24"/>
        </w:rPr>
        <w:t>- Деца и младежи, настанени в специализирани институции, в социални услуги в общността от резидентен тип, в приемни семейства и при близки и роднини;</w:t>
      </w:r>
    </w:p>
    <w:p w:rsidR="0064668E" w:rsidRPr="00B83239" w:rsidRDefault="0064668E" w:rsidP="00EE0B8F">
      <w:pPr>
        <w:rPr>
          <w:rFonts w:ascii="Times New Roman" w:hAnsi="Times New Roman"/>
          <w:sz w:val="24"/>
          <w:szCs w:val="24"/>
        </w:rPr>
      </w:pPr>
      <w:r w:rsidRPr="00B83239">
        <w:rPr>
          <w:rFonts w:ascii="Times New Roman" w:hAnsi="Times New Roman"/>
          <w:sz w:val="24"/>
          <w:szCs w:val="24"/>
        </w:rPr>
        <w:t>- Деца и младежи, които напускат специализираните институции за деца.</w:t>
      </w:r>
    </w:p>
    <w:p w:rsidR="0064668E" w:rsidRPr="00B83239" w:rsidRDefault="0064668E" w:rsidP="0065550D">
      <w:pPr>
        <w:jc w:val="both"/>
        <w:rPr>
          <w:rFonts w:ascii="Times New Roman" w:hAnsi="Times New Roman"/>
          <w:sz w:val="24"/>
          <w:szCs w:val="24"/>
        </w:rPr>
      </w:pPr>
      <w:r w:rsidRPr="00B83239">
        <w:rPr>
          <w:rFonts w:ascii="Times New Roman" w:hAnsi="Times New Roman"/>
          <w:sz w:val="24"/>
          <w:szCs w:val="24"/>
        </w:rPr>
        <w:t>Социалните услуги в общността са сред основните инструменти, чрез които се насърчава социалното включване на уязвимите групи. Характерен белег на социалните услуги е, че се основават на социална работа и са насочени към подкрепа за осъществяване на ежедневни дейности и социално включване. Те се предоставят съобразно желанието и личния избор на лицата, в т.ч. млади хора на възраст от 18 до 25 години в риск.</w:t>
      </w:r>
    </w:p>
    <w:p w:rsidR="0064668E" w:rsidRPr="00B83239" w:rsidRDefault="0064668E" w:rsidP="00EE0B8F">
      <w:pPr>
        <w:rPr>
          <w:rFonts w:ascii="Times New Roman" w:hAnsi="Times New Roman"/>
          <w:sz w:val="24"/>
          <w:szCs w:val="24"/>
        </w:rPr>
      </w:pPr>
      <w:r>
        <w:rPr>
          <w:rFonts w:ascii="Times New Roman" w:hAnsi="Times New Roman"/>
          <w:sz w:val="24"/>
          <w:szCs w:val="24"/>
        </w:rPr>
        <w:t>4.1.2</w:t>
      </w:r>
      <w:r w:rsidRPr="00B83239">
        <w:rPr>
          <w:rFonts w:ascii="Times New Roman" w:hAnsi="Times New Roman"/>
          <w:sz w:val="24"/>
          <w:szCs w:val="24"/>
        </w:rPr>
        <w:t xml:space="preserve"> Предприети мерки</w:t>
      </w:r>
    </w:p>
    <w:p w:rsidR="0064668E" w:rsidRPr="00B83239" w:rsidRDefault="0064668E" w:rsidP="0065550D">
      <w:pPr>
        <w:ind w:firstLine="708"/>
        <w:jc w:val="both"/>
        <w:rPr>
          <w:rFonts w:ascii="Times New Roman" w:hAnsi="Times New Roman"/>
          <w:sz w:val="24"/>
          <w:szCs w:val="24"/>
        </w:rPr>
      </w:pPr>
      <w:r w:rsidRPr="00B83239">
        <w:rPr>
          <w:rFonts w:ascii="Times New Roman" w:hAnsi="Times New Roman"/>
          <w:sz w:val="24"/>
          <w:szCs w:val="24"/>
        </w:rPr>
        <w:t>В рамките на политиката в областта на социалното включване се изпълняват</w:t>
      </w:r>
      <w:r w:rsidRPr="00B83239">
        <w:rPr>
          <w:rFonts w:ascii="Times New Roman" w:hAnsi="Times New Roman"/>
          <w:sz w:val="24"/>
          <w:szCs w:val="24"/>
          <w:lang w:val="ru-RU"/>
        </w:rPr>
        <w:t xml:space="preserve"> </w:t>
      </w:r>
      <w:r w:rsidRPr="00B83239">
        <w:rPr>
          <w:rFonts w:ascii="Times New Roman" w:hAnsi="Times New Roman"/>
          <w:sz w:val="24"/>
          <w:szCs w:val="24"/>
        </w:rPr>
        <w:t>редица програми и мерки, насочени към подобряване качеството на живот на най-</w:t>
      </w:r>
      <w:r w:rsidRPr="00B83239">
        <w:rPr>
          <w:rFonts w:ascii="Times New Roman" w:hAnsi="Times New Roman"/>
          <w:sz w:val="24"/>
          <w:szCs w:val="24"/>
          <w:lang w:val="ru-RU"/>
        </w:rPr>
        <w:t xml:space="preserve"> </w:t>
      </w:r>
      <w:r w:rsidRPr="00B83239">
        <w:rPr>
          <w:rFonts w:ascii="Times New Roman" w:hAnsi="Times New Roman"/>
          <w:sz w:val="24"/>
          <w:szCs w:val="24"/>
        </w:rPr>
        <w:t>уязвимите групи в обществото, в т.ч. деца и младежи. Младежите в уязвимо положение</w:t>
      </w:r>
      <w:r w:rsidRPr="00B83239">
        <w:rPr>
          <w:rFonts w:ascii="Times New Roman" w:hAnsi="Times New Roman"/>
          <w:sz w:val="24"/>
          <w:szCs w:val="24"/>
          <w:lang w:val="ru-RU"/>
        </w:rPr>
        <w:t xml:space="preserve"> </w:t>
      </w:r>
      <w:r w:rsidRPr="00B83239">
        <w:rPr>
          <w:rFonts w:ascii="Times New Roman" w:hAnsi="Times New Roman"/>
          <w:sz w:val="24"/>
          <w:szCs w:val="24"/>
        </w:rPr>
        <w:t xml:space="preserve">в много по-голяма степен се нуждаят от подкрепа, свързана както с прехода им към </w:t>
      </w:r>
      <w:r w:rsidRPr="00B83239">
        <w:rPr>
          <w:rFonts w:ascii="Times New Roman" w:hAnsi="Times New Roman"/>
          <w:sz w:val="24"/>
          <w:szCs w:val="24"/>
          <w:lang w:val="ru-RU"/>
        </w:rPr>
        <w:t xml:space="preserve"> </w:t>
      </w:r>
      <w:r w:rsidRPr="00B83239">
        <w:rPr>
          <w:rFonts w:ascii="Times New Roman" w:hAnsi="Times New Roman"/>
          <w:sz w:val="24"/>
          <w:szCs w:val="24"/>
        </w:rPr>
        <w:t>самостоятелен живот, така и с предоставянето на възможности за реализация и</w:t>
      </w:r>
      <w:r w:rsidRPr="00B83239">
        <w:rPr>
          <w:rFonts w:ascii="Times New Roman" w:hAnsi="Times New Roman"/>
          <w:sz w:val="24"/>
          <w:szCs w:val="24"/>
          <w:lang w:val="ru-RU"/>
        </w:rPr>
        <w:t xml:space="preserve"> </w:t>
      </w:r>
      <w:r w:rsidRPr="00B83239">
        <w:rPr>
          <w:rFonts w:ascii="Times New Roman" w:hAnsi="Times New Roman"/>
          <w:sz w:val="24"/>
          <w:szCs w:val="24"/>
        </w:rPr>
        <w:t>пълноценно участие в обществото. Предоставянето на достъпни, качествени и устойчиви социални услуги е друг важен елемент на политиката за подкрепа на уязвимите групи. Системата за социални услуги се разшири значително през последните няколко години. Това се дължи на реформите, насочени към подобряване на планирането, деинституционализацията и предоставянето на повече услуги, базирани в общността и в семейна среда. Всяка от социалните услуги в общността се предоставя за няколко целеви групи, съобразно спецификата на предоставяните в услугата дейности. Услугите, които обхващат лица и младежи, са насочени и към осигуряване на достъп до образование, професионална квалификация и намиране на първа работа, които имат ключова роля за житейската реализация и личностното им развитие.</w:t>
      </w:r>
    </w:p>
    <w:p w:rsidR="0064668E" w:rsidRPr="00B83239" w:rsidRDefault="0064668E" w:rsidP="00D52234">
      <w:pPr>
        <w:rPr>
          <w:rFonts w:ascii="Times New Roman" w:hAnsi="Times New Roman"/>
          <w:b/>
          <w:sz w:val="24"/>
          <w:szCs w:val="24"/>
        </w:rPr>
      </w:pPr>
      <w:r w:rsidRPr="00B83239">
        <w:rPr>
          <w:rFonts w:ascii="Times New Roman" w:hAnsi="Times New Roman"/>
          <w:b/>
          <w:sz w:val="24"/>
          <w:szCs w:val="24"/>
        </w:rPr>
        <w:t xml:space="preserve">ПРИОРИТЕТ V: РАЗВИТИЕ НА МЛАДЕЖКО ДОБРОВОЛЧЕСТВО </w:t>
      </w:r>
    </w:p>
    <w:p w:rsidR="0064668E" w:rsidRPr="00B83239" w:rsidRDefault="0064668E" w:rsidP="00D52234">
      <w:pPr>
        <w:rPr>
          <w:rFonts w:ascii="Times New Roman" w:hAnsi="Times New Roman"/>
          <w:b/>
          <w:sz w:val="24"/>
          <w:szCs w:val="24"/>
        </w:rPr>
      </w:pPr>
      <w:r w:rsidRPr="00B83239">
        <w:rPr>
          <w:rFonts w:ascii="Times New Roman" w:hAnsi="Times New Roman"/>
          <w:b/>
          <w:sz w:val="24"/>
          <w:szCs w:val="24"/>
        </w:rPr>
        <w:t>5.1. БЪЛГАРСКИТЕ МЛАДЕЖИ, УЧАСТВАЩИ В МЕЖДУНАРОДНОТО</w:t>
      </w:r>
    </w:p>
    <w:p w:rsidR="0064668E" w:rsidRPr="00E32CCB" w:rsidRDefault="0064668E" w:rsidP="00D52234">
      <w:pPr>
        <w:rPr>
          <w:rFonts w:ascii="Times New Roman" w:hAnsi="Times New Roman"/>
          <w:b/>
          <w:sz w:val="24"/>
          <w:szCs w:val="24"/>
        </w:rPr>
      </w:pPr>
      <w:r w:rsidRPr="00E32CCB">
        <w:rPr>
          <w:rFonts w:ascii="Times New Roman" w:hAnsi="Times New Roman"/>
          <w:b/>
          <w:sz w:val="24"/>
          <w:szCs w:val="24"/>
        </w:rPr>
        <w:t>МЛАДЕЖКО ДОБРОВОЛЧЕСТВО</w:t>
      </w:r>
    </w:p>
    <w:p w:rsidR="0064668E" w:rsidRPr="00E32CCB" w:rsidRDefault="0064668E" w:rsidP="00D52234">
      <w:pPr>
        <w:rPr>
          <w:rFonts w:ascii="Times New Roman" w:hAnsi="Times New Roman"/>
          <w:sz w:val="24"/>
          <w:szCs w:val="24"/>
        </w:rPr>
      </w:pPr>
      <w:r w:rsidRPr="00E32CCB">
        <w:rPr>
          <w:rFonts w:ascii="Times New Roman" w:hAnsi="Times New Roman"/>
          <w:sz w:val="24"/>
          <w:szCs w:val="24"/>
        </w:rPr>
        <w:t>5.1.1 Състояние на изследвания индикатор</w:t>
      </w:r>
    </w:p>
    <w:p w:rsidR="0064668E" w:rsidRDefault="0064668E" w:rsidP="00E32CCB">
      <w:pPr>
        <w:ind w:firstLine="708"/>
      </w:pPr>
      <w:r>
        <w:t>Данните за младите доброволци, осъществяващи доброволческа дейност в чужбина, се базират на информация от Центъра за развитие на човешките ресурси към Министерство на образованието и науката, който администрира Програма „Еразъм +” на ЕК.</w:t>
      </w:r>
    </w:p>
    <w:p w:rsidR="0064668E" w:rsidRPr="00B83239" w:rsidRDefault="0064668E" w:rsidP="00E32CCB">
      <w:pPr>
        <w:ind w:firstLine="708"/>
        <w:rPr>
          <w:rFonts w:ascii="Times New Roman" w:hAnsi="Times New Roman"/>
          <w:color w:val="FF0000"/>
          <w:sz w:val="24"/>
          <w:szCs w:val="24"/>
        </w:rPr>
      </w:pPr>
      <w:r>
        <w:t>През 2015 г. по дейност 2 „Европейска доброволческа служба” са одобрени 55 проекта от подадени 102. През годината, 96 български младежи са били изпратени на доброволческа служба в чужбина по проекти, финансирани по програмата. Общо са финансирани 380 проекта с чуждестранни участници.</w:t>
      </w:r>
    </w:p>
    <w:p w:rsidR="0064668E" w:rsidRPr="00E32CCB" w:rsidRDefault="0064668E" w:rsidP="00D52234">
      <w:pPr>
        <w:rPr>
          <w:rFonts w:ascii="Times New Roman" w:hAnsi="Times New Roman"/>
          <w:sz w:val="24"/>
          <w:szCs w:val="24"/>
        </w:rPr>
      </w:pPr>
      <w:r w:rsidRPr="00E32CCB">
        <w:rPr>
          <w:rFonts w:ascii="Times New Roman" w:hAnsi="Times New Roman"/>
          <w:sz w:val="24"/>
          <w:szCs w:val="24"/>
        </w:rPr>
        <w:t xml:space="preserve">5.1.2. Анализ на състоянието </w:t>
      </w:r>
    </w:p>
    <w:p w:rsidR="0064668E" w:rsidRPr="00E32CCB" w:rsidRDefault="0064668E" w:rsidP="00D52234">
      <w:pPr>
        <w:rPr>
          <w:rFonts w:ascii="Times New Roman" w:hAnsi="Times New Roman"/>
          <w:sz w:val="24"/>
          <w:szCs w:val="24"/>
          <w:lang w:val="ru-RU"/>
        </w:rPr>
      </w:pPr>
      <w:r w:rsidRPr="00E32CCB">
        <w:rPr>
          <w:rFonts w:ascii="Times New Roman" w:hAnsi="Times New Roman"/>
          <w:sz w:val="24"/>
          <w:szCs w:val="24"/>
        </w:rPr>
        <w:t>В Община Сунгурларе няма данни за младежи участващи в международното младежко доброволчество</w:t>
      </w:r>
    </w:p>
    <w:p w:rsidR="0064668E" w:rsidRPr="00B83239" w:rsidRDefault="0064668E" w:rsidP="00D52234">
      <w:pPr>
        <w:rPr>
          <w:rFonts w:ascii="Times New Roman" w:hAnsi="Times New Roman"/>
          <w:sz w:val="24"/>
          <w:szCs w:val="24"/>
        </w:rPr>
      </w:pPr>
      <w:r w:rsidRPr="00B83239">
        <w:rPr>
          <w:rFonts w:ascii="Times New Roman" w:hAnsi="Times New Roman"/>
          <w:sz w:val="24"/>
          <w:szCs w:val="24"/>
        </w:rPr>
        <w:t>5.2 УВЕЛИЧАВАНЕ НА БРОЯ НА ДОБРОВОЛЦИТЕ В БЪЛГАРИЯ</w:t>
      </w:r>
    </w:p>
    <w:p w:rsidR="0064668E" w:rsidRPr="00B83239" w:rsidRDefault="0064668E" w:rsidP="00D52234">
      <w:pPr>
        <w:rPr>
          <w:rFonts w:ascii="Times New Roman" w:hAnsi="Times New Roman"/>
          <w:sz w:val="24"/>
          <w:szCs w:val="24"/>
        </w:rPr>
      </w:pPr>
      <w:r w:rsidRPr="00B83239">
        <w:rPr>
          <w:rFonts w:ascii="Times New Roman" w:hAnsi="Times New Roman"/>
          <w:sz w:val="24"/>
          <w:szCs w:val="24"/>
        </w:rPr>
        <w:t>5.2.1 Състояние на изследвания индикатор</w:t>
      </w:r>
    </w:p>
    <w:p w:rsidR="0064668E" w:rsidRPr="00B83239" w:rsidRDefault="0064668E" w:rsidP="00BB2C0D">
      <w:pPr>
        <w:ind w:firstLine="708"/>
        <w:jc w:val="both"/>
        <w:rPr>
          <w:rFonts w:ascii="Times New Roman" w:hAnsi="Times New Roman"/>
          <w:sz w:val="24"/>
          <w:szCs w:val="24"/>
        </w:rPr>
      </w:pPr>
      <w:r w:rsidRPr="00B83239">
        <w:rPr>
          <w:rFonts w:ascii="Times New Roman" w:hAnsi="Times New Roman"/>
          <w:sz w:val="24"/>
          <w:szCs w:val="24"/>
        </w:rPr>
        <w:t>Доброволчеството в България е един от секторите, за когото липсва официална</w:t>
      </w:r>
      <w:r w:rsidRPr="00B83239">
        <w:rPr>
          <w:rFonts w:ascii="Times New Roman" w:hAnsi="Times New Roman"/>
          <w:sz w:val="24"/>
          <w:szCs w:val="24"/>
          <w:lang w:val="ru-RU"/>
        </w:rPr>
        <w:t xml:space="preserve"> </w:t>
      </w:r>
      <w:r w:rsidRPr="00B83239">
        <w:rPr>
          <w:rFonts w:ascii="Times New Roman" w:hAnsi="Times New Roman"/>
          <w:sz w:val="24"/>
          <w:szCs w:val="24"/>
        </w:rPr>
        <w:t>статистическа информация, с изключение на социологически проучвания и анализи на</w:t>
      </w:r>
      <w:r w:rsidRPr="00B83239">
        <w:rPr>
          <w:rFonts w:ascii="Times New Roman" w:hAnsi="Times New Roman"/>
          <w:sz w:val="24"/>
          <w:szCs w:val="24"/>
          <w:lang w:val="ru-RU"/>
        </w:rPr>
        <w:t xml:space="preserve"> </w:t>
      </w:r>
      <w:r w:rsidRPr="00B83239">
        <w:rPr>
          <w:rFonts w:ascii="Times New Roman" w:hAnsi="Times New Roman"/>
          <w:sz w:val="24"/>
          <w:szCs w:val="24"/>
        </w:rPr>
        <w:t>неправителствения сектор в страната, от където са наличните данни.</w:t>
      </w:r>
    </w:p>
    <w:p w:rsidR="0064668E" w:rsidRPr="00B83239" w:rsidRDefault="0064668E" w:rsidP="00D52234">
      <w:pPr>
        <w:rPr>
          <w:rFonts w:ascii="Times New Roman" w:hAnsi="Times New Roman"/>
          <w:sz w:val="24"/>
          <w:szCs w:val="24"/>
        </w:rPr>
      </w:pPr>
      <w:r w:rsidRPr="00B83239">
        <w:rPr>
          <w:rFonts w:ascii="Times New Roman" w:hAnsi="Times New Roman"/>
          <w:sz w:val="24"/>
          <w:szCs w:val="24"/>
        </w:rPr>
        <w:t>5.2.2 Анализ на състоянието</w:t>
      </w:r>
    </w:p>
    <w:p w:rsidR="0064668E" w:rsidRPr="00B83239" w:rsidRDefault="0064668E" w:rsidP="00BB2C0D">
      <w:pPr>
        <w:jc w:val="both"/>
        <w:rPr>
          <w:rFonts w:ascii="Times New Roman" w:hAnsi="Times New Roman"/>
          <w:sz w:val="24"/>
          <w:szCs w:val="24"/>
        </w:rPr>
      </w:pPr>
      <w:r w:rsidRPr="00B83239">
        <w:rPr>
          <w:rFonts w:ascii="Times New Roman" w:hAnsi="Times New Roman"/>
          <w:sz w:val="24"/>
          <w:szCs w:val="24"/>
        </w:rPr>
        <w:t xml:space="preserve">Върху </w:t>
      </w:r>
      <w:r w:rsidRPr="00B83239">
        <w:rPr>
          <w:rFonts w:ascii="Times New Roman" w:hAnsi="Times New Roman"/>
          <w:sz w:val="24"/>
          <w:szCs w:val="24"/>
          <w:lang w:val="ru-RU"/>
        </w:rPr>
        <w:t xml:space="preserve"> </w:t>
      </w:r>
      <w:r w:rsidRPr="00B83239">
        <w:rPr>
          <w:rFonts w:ascii="Times New Roman" w:hAnsi="Times New Roman"/>
          <w:sz w:val="24"/>
          <w:szCs w:val="24"/>
        </w:rPr>
        <w:t>желанието за включване в доброволчески акции, организирани от НПО,</w:t>
      </w:r>
      <w:r w:rsidRPr="00B83239">
        <w:rPr>
          <w:rFonts w:ascii="Times New Roman" w:hAnsi="Times New Roman"/>
          <w:sz w:val="24"/>
          <w:szCs w:val="24"/>
          <w:lang w:val="ru-RU"/>
        </w:rPr>
        <w:t xml:space="preserve"> </w:t>
      </w:r>
      <w:r w:rsidRPr="00B83239">
        <w:rPr>
          <w:rFonts w:ascii="Times New Roman" w:hAnsi="Times New Roman"/>
          <w:sz w:val="24"/>
          <w:szCs w:val="24"/>
        </w:rPr>
        <w:t>влияе и имиджът на неправителствения сектор сред младите хора, който е относително негативен. Това също може да се разглежда като предпоставка за нежеланиe за включване в доброволчески акции. Необходимо е от една страна по-голяма активност на НПО за включване на</w:t>
      </w:r>
      <w:r w:rsidRPr="00B83239">
        <w:rPr>
          <w:rFonts w:ascii="Times New Roman" w:hAnsi="Times New Roman"/>
          <w:sz w:val="24"/>
          <w:szCs w:val="24"/>
          <w:lang w:val="ru-RU"/>
        </w:rPr>
        <w:t xml:space="preserve"> </w:t>
      </w:r>
      <w:r w:rsidRPr="00B83239">
        <w:rPr>
          <w:rFonts w:ascii="Times New Roman" w:hAnsi="Times New Roman"/>
          <w:sz w:val="24"/>
          <w:szCs w:val="24"/>
        </w:rPr>
        <w:t xml:space="preserve">младежите в тяхната дейност, а от друга - за предоставяне на информация за резултатите и ефекта от работата на третия сектор като важна част от развитието на гражданското общество. От друга страна е препоръчително да се работи както с младежите, така и с работодателите за разясняване на предимствата и ползите от неформалното образование, получено от участието в доброволчески инициативи.Училището също трябва да се включи като основен партньор при мотивирането и популяризирането на доброволчеството сред младежите. </w:t>
      </w:r>
    </w:p>
    <w:p w:rsidR="0064668E" w:rsidRPr="00E32CCB" w:rsidRDefault="0064668E" w:rsidP="00C64785">
      <w:pPr>
        <w:jc w:val="both"/>
        <w:rPr>
          <w:rFonts w:ascii="Times New Roman" w:hAnsi="Times New Roman"/>
          <w:sz w:val="24"/>
          <w:szCs w:val="24"/>
        </w:rPr>
      </w:pPr>
      <w:r w:rsidRPr="00E32CCB">
        <w:rPr>
          <w:rFonts w:ascii="Times New Roman" w:hAnsi="Times New Roman"/>
          <w:sz w:val="24"/>
          <w:szCs w:val="24"/>
        </w:rPr>
        <w:t>5.2.3. Предприети мерки</w:t>
      </w:r>
    </w:p>
    <w:p w:rsidR="0064668E" w:rsidRPr="00B83239" w:rsidRDefault="0064668E" w:rsidP="00C64785">
      <w:pPr>
        <w:ind w:firstLine="708"/>
        <w:jc w:val="both"/>
        <w:rPr>
          <w:rFonts w:ascii="Times New Roman" w:hAnsi="Times New Roman"/>
          <w:sz w:val="24"/>
          <w:szCs w:val="24"/>
        </w:rPr>
      </w:pPr>
      <w:r w:rsidRPr="00B83239">
        <w:rPr>
          <w:rFonts w:ascii="Times New Roman" w:hAnsi="Times New Roman"/>
          <w:sz w:val="24"/>
          <w:szCs w:val="24"/>
        </w:rPr>
        <w:t>В рамките на годината, в дейности по различни програми, проекти и инициативи</w:t>
      </w:r>
      <w:r w:rsidRPr="00B83239">
        <w:rPr>
          <w:rFonts w:ascii="Times New Roman" w:hAnsi="Times New Roman"/>
          <w:sz w:val="24"/>
          <w:szCs w:val="24"/>
          <w:lang w:val="ru-RU"/>
        </w:rPr>
        <w:t xml:space="preserve"> </w:t>
      </w:r>
      <w:r w:rsidRPr="00B83239">
        <w:rPr>
          <w:rFonts w:ascii="Times New Roman" w:hAnsi="Times New Roman"/>
          <w:sz w:val="24"/>
          <w:szCs w:val="24"/>
        </w:rPr>
        <w:t>на държавните институции в страната, общините и неправителствени организации, са</w:t>
      </w:r>
      <w:r w:rsidRPr="00B83239">
        <w:rPr>
          <w:rFonts w:ascii="Times New Roman" w:hAnsi="Times New Roman"/>
          <w:sz w:val="24"/>
          <w:szCs w:val="24"/>
          <w:lang w:val="ru-RU"/>
        </w:rPr>
        <w:t xml:space="preserve"> </w:t>
      </w:r>
      <w:r w:rsidRPr="00B83239">
        <w:rPr>
          <w:rFonts w:ascii="Times New Roman" w:hAnsi="Times New Roman"/>
          <w:sz w:val="24"/>
          <w:szCs w:val="24"/>
        </w:rPr>
        <w:t>обхванати общо 20 млади доброволци.</w:t>
      </w:r>
      <w:r w:rsidRPr="00B83239">
        <w:rPr>
          <w:rFonts w:ascii="Times New Roman" w:hAnsi="Times New Roman"/>
          <w:sz w:val="24"/>
          <w:szCs w:val="24"/>
          <w:lang w:val="ru-RU"/>
        </w:rPr>
        <w:t xml:space="preserve"> </w:t>
      </w:r>
      <w:r w:rsidRPr="00B83239">
        <w:rPr>
          <w:rFonts w:ascii="Times New Roman" w:hAnsi="Times New Roman"/>
          <w:sz w:val="24"/>
          <w:szCs w:val="24"/>
        </w:rPr>
        <w:t>В инициативи, организирани на общинско ниво, са взели участие 15 младежи. Организирани са няколко акции и инициативи за популяризиране на доброволчеството „Да почистим България за един ден”, „Имай сърце- бъди доброволец”,. Целите на кампаниите са свързани с насърчаване на младите хора за участие в доброволчество. С цел популяризиране на доброволчеството са раздадени флаери и  брошури.</w:t>
      </w:r>
    </w:p>
    <w:p w:rsidR="0064668E" w:rsidRPr="00B83239" w:rsidRDefault="0064668E" w:rsidP="00C64785">
      <w:pPr>
        <w:jc w:val="both"/>
        <w:rPr>
          <w:rFonts w:ascii="Times New Roman" w:hAnsi="Times New Roman"/>
          <w:sz w:val="24"/>
          <w:szCs w:val="24"/>
        </w:rPr>
      </w:pPr>
      <w:r w:rsidRPr="00B83239">
        <w:rPr>
          <w:rFonts w:ascii="Times New Roman" w:hAnsi="Times New Roman"/>
          <w:sz w:val="24"/>
          <w:szCs w:val="24"/>
        </w:rPr>
        <w:t>6.1. УЧАСТИЕ НА МЛАДИТЕ ХОРА ПРИ РЕШАВАНЕ НА МЛАДЕЖКИТЕ ПРОБЛЕМИ</w:t>
      </w:r>
    </w:p>
    <w:p w:rsidR="0064668E" w:rsidRPr="00B83239" w:rsidRDefault="0064668E" w:rsidP="00C64785">
      <w:pPr>
        <w:jc w:val="both"/>
        <w:rPr>
          <w:rFonts w:ascii="Times New Roman" w:hAnsi="Times New Roman"/>
          <w:sz w:val="24"/>
          <w:szCs w:val="24"/>
        </w:rPr>
      </w:pPr>
      <w:r w:rsidRPr="00B83239">
        <w:rPr>
          <w:rFonts w:ascii="Times New Roman" w:hAnsi="Times New Roman"/>
          <w:sz w:val="24"/>
          <w:szCs w:val="24"/>
        </w:rPr>
        <w:t>6.1.1 Състояние на изследвания индикатор</w:t>
      </w:r>
    </w:p>
    <w:p w:rsidR="0064668E" w:rsidRPr="00B83239" w:rsidRDefault="0064668E" w:rsidP="00E32CCB">
      <w:pPr>
        <w:ind w:firstLine="708"/>
        <w:jc w:val="both"/>
        <w:rPr>
          <w:rFonts w:ascii="Times New Roman" w:hAnsi="Times New Roman"/>
          <w:sz w:val="24"/>
          <w:szCs w:val="24"/>
        </w:rPr>
      </w:pPr>
      <w:r w:rsidRPr="00B83239">
        <w:rPr>
          <w:rFonts w:ascii="Times New Roman" w:hAnsi="Times New Roman"/>
          <w:sz w:val="24"/>
          <w:szCs w:val="24"/>
        </w:rPr>
        <w:t>Участието на младите хора в демократичния живот и участието им в процеса</w:t>
      </w:r>
      <w:r w:rsidRPr="00B83239">
        <w:rPr>
          <w:rFonts w:ascii="Times New Roman" w:hAnsi="Times New Roman"/>
          <w:sz w:val="24"/>
          <w:szCs w:val="24"/>
          <w:lang w:val="ru-RU"/>
        </w:rPr>
        <w:t xml:space="preserve"> </w:t>
      </w:r>
      <w:r w:rsidRPr="00B83239">
        <w:rPr>
          <w:rFonts w:ascii="Times New Roman" w:hAnsi="Times New Roman"/>
          <w:sz w:val="24"/>
          <w:szCs w:val="24"/>
        </w:rPr>
        <w:t>на взимане на решения по проблеми и въпроси, важни за тяхното бъдеще, се измерва с</w:t>
      </w:r>
      <w:r w:rsidRPr="00B83239">
        <w:rPr>
          <w:rFonts w:ascii="Times New Roman" w:hAnsi="Times New Roman"/>
          <w:sz w:val="24"/>
          <w:szCs w:val="24"/>
          <w:lang w:val="ru-RU"/>
        </w:rPr>
        <w:t xml:space="preserve"> </w:t>
      </w:r>
      <w:r w:rsidRPr="00B83239">
        <w:rPr>
          <w:rFonts w:ascii="Times New Roman" w:hAnsi="Times New Roman"/>
          <w:sz w:val="24"/>
          <w:szCs w:val="24"/>
        </w:rPr>
        <w:t>членството им в различни младежки организации, включването им в кампании,</w:t>
      </w:r>
      <w:r w:rsidRPr="00B83239">
        <w:rPr>
          <w:rFonts w:ascii="Times New Roman" w:hAnsi="Times New Roman"/>
          <w:sz w:val="24"/>
          <w:szCs w:val="24"/>
          <w:lang w:val="ru-RU"/>
        </w:rPr>
        <w:t xml:space="preserve"> </w:t>
      </w:r>
      <w:r w:rsidRPr="00B83239">
        <w:rPr>
          <w:rFonts w:ascii="Times New Roman" w:hAnsi="Times New Roman"/>
          <w:sz w:val="24"/>
          <w:szCs w:val="24"/>
        </w:rPr>
        <w:t>инициативи и консултативни органи към местни, регионални и национални органи на</w:t>
      </w:r>
      <w:r w:rsidRPr="00B83239">
        <w:rPr>
          <w:rFonts w:ascii="Times New Roman" w:hAnsi="Times New Roman"/>
          <w:sz w:val="24"/>
          <w:szCs w:val="24"/>
          <w:lang w:val="ru-RU"/>
        </w:rPr>
        <w:t xml:space="preserve"> </w:t>
      </w:r>
      <w:r w:rsidRPr="00B83239">
        <w:rPr>
          <w:rFonts w:ascii="Times New Roman" w:hAnsi="Times New Roman"/>
          <w:sz w:val="24"/>
          <w:szCs w:val="24"/>
        </w:rPr>
        <w:t>управление.</w:t>
      </w:r>
    </w:p>
    <w:p w:rsidR="0064668E" w:rsidRPr="00B83239" w:rsidRDefault="0064668E" w:rsidP="0067211D">
      <w:pPr>
        <w:jc w:val="both"/>
        <w:rPr>
          <w:rFonts w:ascii="Times New Roman" w:hAnsi="Times New Roman"/>
          <w:sz w:val="24"/>
          <w:szCs w:val="24"/>
        </w:rPr>
      </w:pPr>
      <w:r w:rsidRPr="00B83239">
        <w:rPr>
          <w:rFonts w:ascii="Times New Roman" w:hAnsi="Times New Roman"/>
          <w:sz w:val="24"/>
          <w:szCs w:val="24"/>
        </w:rPr>
        <w:t>6.1.2 Анализ на състоянието</w:t>
      </w:r>
    </w:p>
    <w:p w:rsidR="0064668E" w:rsidRPr="00B83239" w:rsidRDefault="0064668E" w:rsidP="00E32CCB">
      <w:pPr>
        <w:ind w:firstLine="708"/>
        <w:jc w:val="both"/>
        <w:rPr>
          <w:rFonts w:ascii="Times New Roman" w:hAnsi="Times New Roman"/>
          <w:sz w:val="24"/>
          <w:szCs w:val="24"/>
        </w:rPr>
      </w:pPr>
      <w:r w:rsidRPr="00B83239">
        <w:rPr>
          <w:rFonts w:ascii="Times New Roman" w:hAnsi="Times New Roman"/>
          <w:sz w:val="24"/>
          <w:szCs w:val="24"/>
        </w:rPr>
        <w:t>Участието на младите хора в акции, кампании, инициативи и проекти е една от най-популярните форми на гражданска активност на младежите в България.</w:t>
      </w:r>
    </w:p>
    <w:p w:rsidR="0064668E" w:rsidRPr="00B83239" w:rsidRDefault="0064668E" w:rsidP="00884BA9">
      <w:pPr>
        <w:rPr>
          <w:rFonts w:ascii="Times New Roman" w:hAnsi="Times New Roman"/>
          <w:sz w:val="24"/>
          <w:szCs w:val="24"/>
        </w:rPr>
      </w:pPr>
      <w:r w:rsidRPr="00B83239">
        <w:rPr>
          <w:rFonts w:ascii="Times New Roman" w:hAnsi="Times New Roman"/>
          <w:sz w:val="24"/>
          <w:szCs w:val="24"/>
        </w:rPr>
        <w:t>6.1.3 Предприети мерки</w:t>
      </w:r>
    </w:p>
    <w:p w:rsidR="0064668E" w:rsidRPr="00B83239" w:rsidRDefault="0064668E" w:rsidP="00793F6D">
      <w:pPr>
        <w:ind w:firstLine="708"/>
        <w:jc w:val="both"/>
        <w:rPr>
          <w:rFonts w:ascii="Times New Roman" w:hAnsi="Times New Roman"/>
          <w:sz w:val="24"/>
          <w:szCs w:val="24"/>
        </w:rPr>
      </w:pPr>
      <w:r w:rsidRPr="00B83239">
        <w:rPr>
          <w:rFonts w:ascii="Times New Roman" w:hAnsi="Times New Roman"/>
          <w:sz w:val="24"/>
          <w:szCs w:val="24"/>
        </w:rPr>
        <w:t>През 2016 г. са проведени  срещи и дискусии по теми, свързани със защита правата на</w:t>
      </w:r>
      <w:r w:rsidRPr="00B83239">
        <w:rPr>
          <w:rFonts w:ascii="Times New Roman" w:hAnsi="Times New Roman"/>
          <w:sz w:val="24"/>
          <w:szCs w:val="24"/>
          <w:lang w:val="ru-RU"/>
        </w:rPr>
        <w:t xml:space="preserve"> </w:t>
      </w:r>
      <w:r w:rsidRPr="00B83239">
        <w:rPr>
          <w:rFonts w:ascii="Times New Roman" w:hAnsi="Times New Roman"/>
          <w:sz w:val="24"/>
          <w:szCs w:val="24"/>
        </w:rPr>
        <w:t>човека, особено по въпросите на правата на детето, дискриминацията,</w:t>
      </w:r>
      <w:r w:rsidRPr="00B83239">
        <w:rPr>
          <w:rFonts w:ascii="Times New Roman" w:hAnsi="Times New Roman"/>
          <w:sz w:val="24"/>
          <w:szCs w:val="24"/>
          <w:lang w:val="ru-RU"/>
        </w:rPr>
        <w:t xml:space="preserve"> </w:t>
      </w:r>
      <w:r w:rsidRPr="00B83239">
        <w:rPr>
          <w:rFonts w:ascii="Times New Roman" w:hAnsi="Times New Roman"/>
          <w:sz w:val="24"/>
          <w:szCs w:val="24"/>
        </w:rPr>
        <w:t xml:space="preserve">равнопоставеността между половете, в които участие са взели 30 младежи. Проведена е кампания „Световна седмица на предприемачеството” в СУ „Христо Ботев Сунгурларе,  през която са организираха открити уроци на тема – „Аз имам идея.Това е моят бизнес”, „Ден на професиите”. </w:t>
      </w:r>
    </w:p>
    <w:p w:rsidR="0064668E" w:rsidRPr="00B83239" w:rsidRDefault="0064668E" w:rsidP="00793F6D">
      <w:pPr>
        <w:ind w:firstLine="708"/>
        <w:jc w:val="both"/>
        <w:rPr>
          <w:rFonts w:ascii="Times New Roman" w:hAnsi="Times New Roman"/>
          <w:sz w:val="24"/>
          <w:szCs w:val="24"/>
        </w:rPr>
      </w:pPr>
      <w:r w:rsidRPr="00B83239">
        <w:rPr>
          <w:rFonts w:ascii="Times New Roman" w:hAnsi="Times New Roman"/>
          <w:sz w:val="24"/>
          <w:szCs w:val="24"/>
        </w:rPr>
        <w:t>Община Сунгурларе  полага усилия да ангажират все повече млади хора в обществения живот на населеното място. Най-често използваните форми за включване на младите хора в местното самоуправление са организиране на работни срещи -дискусии, кръгли маси и  срещи-разговори. Проведе се и Ден  на отворените врати на общинската администрация „Мениджър за един ден”</w:t>
      </w:r>
    </w:p>
    <w:p w:rsidR="0064668E" w:rsidRPr="00B83239" w:rsidRDefault="0064668E" w:rsidP="00793F6D">
      <w:pPr>
        <w:ind w:firstLine="708"/>
        <w:jc w:val="both"/>
        <w:rPr>
          <w:rFonts w:ascii="Times New Roman" w:hAnsi="Times New Roman"/>
          <w:sz w:val="24"/>
          <w:szCs w:val="24"/>
        </w:rPr>
      </w:pPr>
      <w:r w:rsidRPr="00B83239">
        <w:rPr>
          <w:rFonts w:ascii="Times New Roman" w:hAnsi="Times New Roman"/>
          <w:sz w:val="24"/>
          <w:szCs w:val="24"/>
        </w:rPr>
        <w:t xml:space="preserve">За развиване на младежки дейности се организират съвместни тържества, празници, съвместни дейности с НПО и спортни клубове, клубове за дебати по младежки въпроси, разработват се програми за развитие на населените места, изграждат се младежки информационни портали. </w:t>
      </w:r>
    </w:p>
    <w:p w:rsidR="0064668E" w:rsidRPr="00B83239" w:rsidRDefault="0064668E" w:rsidP="008D1CAE">
      <w:pPr>
        <w:rPr>
          <w:rFonts w:ascii="Times New Roman" w:hAnsi="Times New Roman"/>
          <w:b/>
          <w:sz w:val="24"/>
          <w:szCs w:val="24"/>
        </w:rPr>
      </w:pPr>
      <w:r w:rsidRPr="00B83239">
        <w:rPr>
          <w:rFonts w:ascii="Times New Roman" w:hAnsi="Times New Roman"/>
          <w:b/>
          <w:sz w:val="24"/>
          <w:szCs w:val="24"/>
        </w:rPr>
        <w:t>ПРИОРИТЕТ VII: РАЗВИТИЕ НА МЛАДИТЕ ХОРА В МАЛКИТЕ НАСЕЛЕНИ МЕСТА И СЕЛСКИТЕ РАЙОНИ</w:t>
      </w:r>
    </w:p>
    <w:p w:rsidR="0064668E" w:rsidRPr="00B83239" w:rsidRDefault="0064668E" w:rsidP="008D1CAE">
      <w:pPr>
        <w:rPr>
          <w:rFonts w:ascii="Times New Roman" w:hAnsi="Times New Roman"/>
          <w:sz w:val="24"/>
          <w:szCs w:val="24"/>
        </w:rPr>
      </w:pPr>
      <w:r w:rsidRPr="00B83239">
        <w:rPr>
          <w:rFonts w:ascii="Times New Roman" w:hAnsi="Times New Roman"/>
          <w:sz w:val="24"/>
          <w:szCs w:val="24"/>
        </w:rPr>
        <w:t>7.1 ПРОФЕСИОНАЛНА И СОЦИАЛНА РЕАЛИЗАЦИЯ НА МЛАДИТЕ ХОРА В МАЛКИТЕ НАСЕЛЕНИ МЕСТА И СЕЛСКИТЕ РАЙОНИ</w:t>
      </w:r>
    </w:p>
    <w:p w:rsidR="0064668E" w:rsidRPr="00B83239" w:rsidRDefault="0064668E" w:rsidP="008D1CAE">
      <w:pPr>
        <w:rPr>
          <w:rFonts w:ascii="Times New Roman" w:hAnsi="Times New Roman"/>
          <w:sz w:val="24"/>
          <w:szCs w:val="24"/>
        </w:rPr>
      </w:pPr>
      <w:r w:rsidRPr="00B83239">
        <w:rPr>
          <w:rFonts w:ascii="Times New Roman" w:hAnsi="Times New Roman"/>
          <w:sz w:val="24"/>
          <w:szCs w:val="24"/>
        </w:rPr>
        <w:t>7.1.1. Състояние на изследвания индикатор</w:t>
      </w:r>
    </w:p>
    <w:p w:rsidR="0064668E" w:rsidRPr="00B83239" w:rsidRDefault="0064668E" w:rsidP="001A3353">
      <w:pPr>
        <w:ind w:firstLine="708"/>
        <w:jc w:val="both"/>
        <w:rPr>
          <w:rFonts w:ascii="Times New Roman" w:hAnsi="Times New Roman"/>
          <w:sz w:val="24"/>
          <w:szCs w:val="24"/>
        </w:rPr>
      </w:pPr>
      <w:r w:rsidRPr="00B83239">
        <w:rPr>
          <w:rFonts w:ascii="Times New Roman" w:hAnsi="Times New Roman"/>
          <w:sz w:val="24"/>
          <w:szCs w:val="24"/>
        </w:rPr>
        <w:t>Световната и икономическа криза оказва негативно влияние върху професионалната  реализация на младите хора в страната и в частност в общината. Тенденцията при младите хора, живеещи на село, показателите за икономическа активност, заетост и безработица да са по-лоши от тези, живеещи в града, се запазва, както и влошаващата се структура на населението в селските райони.  възможностите за професионална и личностна реализация в тези райони са по-ограничени, нивото на безработица е по-високо и средната продължителност на безработицата също е по-висока.</w:t>
      </w:r>
    </w:p>
    <w:p w:rsidR="0064668E" w:rsidRPr="00B83239" w:rsidRDefault="0064668E" w:rsidP="001A3353">
      <w:pPr>
        <w:ind w:firstLine="708"/>
        <w:jc w:val="both"/>
        <w:rPr>
          <w:rFonts w:ascii="Times New Roman" w:hAnsi="Times New Roman"/>
          <w:sz w:val="24"/>
          <w:szCs w:val="24"/>
        </w:rPr>
      </w:pPr>
      <w:r w:rsidRPr="00B83239">
        <w:rPr>
          <w:rFonts w:ascii="Times New Roman" w:hAnsi="Times New Roman"/>
          <w:sz w:val="24"/>
          <w:szCs w:val="24"/>
        </w:rPr>
        <w:t xml:space="preserve">Ниското ниво на регистрации може да се обясни с високата продължителност на безработицата и свързаната с нея загуба на правото да получават обезщетения за безработица. От друга страна, една трета от безработните младежи никога не са работили и не могат да получават обезщетения за безработица, което ги демотивира да се регистрират в бюрата по труда. Несъответствието между полученото образование и работата е по-високо в тези райони в сравнение със страната. Повечето от заетите младежи упражняват по-нискоквалифициран труд. </w:t>
      </w:r>
    </w:p>
    <w:p w:rsidR="0064668E" w:rsidRPr="00B83239" w:rsidRDefault="0064668E" w:rsidP="001A3353">
      <w:pPr>
        <w:jc w:val="both"/>
        <w:rPr>
          <w:rFonts w:ascii="Times New Roman" w:hAnsi="Times New Roman"/>
          <w:sz w:val="24"/>
          <w:szCs w:val="24"/>
        </w:rPr>
      </w:pPr>
      <w:r w:rsidRPr="00B83239">
        <w:rPr>
          <w:rFonts w:ascii="Times New Roman" w:hAnsi="Times New Roman"/>
          <w:sz w:val="24"/>
          <w:szCs w:val="24"/>
        </w:rPr>
        <w:t>7.1.2 Анализ на състоянието</w:t>
      </w:r>
    </w:p>
    <w:p w:rsidR="0064668E" w:rsidRPr="00B83239" w:rsidRDefault="0064668E" w:rsidP="001A3353">
      <w:pPr>
        <w:ind w:firstLine="708"/>
        <w:jc w:val="both"/>
        <w:rPr>
          <w:rFonts w:ascii="Times New Roman" w:hAnsi="Times New Roman"/>
          <w:sz w:val="24"/>
          <w:szCs w:val="24"/>
        </w:rPr>
      </w:pPr>
      <w:r w:rsidRPr="00B83239">
        <w:rPr>
          <w:rFonts w:ascii="Times New Roman" w:hAnsi="Times New Roman"/>
          <w:sz w:val="24"/>
          <w:szCs w:val="24"/>
        </w:rPr>
        <w:t>По данни на областните администрации, положението на младите хора в малките населени места и селските райони не е добро. С пълна сила това важи и за Община Сунгурларе.  Намаляват привлекателните възможности за икономическа активност и професионална реализация на младежката общност.  Пазарът на труда е свит, младежката безработица е висока и липсват възможности за развитие на малък бизнес. Има слабо развита икономика и почти никаква промишленост. Частните земеделски производители се самонаемат, работят на семеен принцип и почти не наемат външни лица. Професионалната реализация на младите хора се осъществява в земеделието и животновъдството. Много малка част от тях, които са придобили дадено образование, могат да се реализират.</w:t>
      </w:r>
    </w:p>
    <w:p w:rsidR="0064668E" w:rsidRPr="00B83239" w:rsidRDefault="0064668E" w:rsidP="008D1CAE">
      <w:pPr>
        <w:rPr>
          <w:rFonts w:ascii="Times New Roman" w:hAnsi="Times New Roman"/>
          <w:sz w:val="24"/>
          <w:szCs w:val="24"/>
        </w:rPr>
      </w:pPr>
      <w:r w:rsidRPr="00B83239">
        <w:rPr>
          <w:rFonts w:ascii="Times New Roman" w:hAnsi="Times New Roman"/>
          <w:sz w:val="24"/>
          <w:szCs w:val="24"/>
        </w:rPr>
        <w:t>7.1.3. Предприети мерки</w:t>
      </w:r>
    </w:p>
    <w:p w:rsidR="0064668E" w:rsidRPr="005F50A7" w:rsidRDefault="0064668E" w:rsidP="005F50A7">
      <w:pPr>
        <w:ind w:firstLine="708"/>
        <w:jc w:val="both"/>
        <w:rPr>
          <w:rFonts w:ascii="Times New Roman" w:hAnsi="Times New Roman"/>
          <w:sz w:val="24"/>
          <w:szCs w:val="24"/>
        </w:rPr>
      </w:pPr>
      <w:r w:rsidRPr="00B83239">
        <w:rPr>
          <w:rFonts w:ascii="Times New Roman" w:hAnsi="Times New Roman"/>
          <w:sz w:val="24"/>
          <w:szCs w:val="24"/>
        </w:rPr>
        <w:t xml:space="preserve">Културното и духовно израстване в нашия район се подпомага от читалищата и действащите към тях библиотеки. Читалищата се превръщат в средища на информация, неформално обучение, културно изразяване и гражданско участие. Те съхраняват традициите и културата в тези райони. Чрез тях младежите получават достъп до програми и проектни предложения, касаещи младежките проблеми и начините за решаването им. Те са институциите, които организират младежки увеселения, привличат млади самодейци и опазват местния автентичен фолклор. </w:t>
      </w:r>
    </w:p>
    <w:p w:rsidR="0064668E" w:rsidRPr="00B83239" w:rsidRDefault="0064668E" w:rsidP="008D1CAE">
      <w:pPr>
        <w:rPr>
          <w:rFonts w:ascii="Times New Roman" w:hAnsi="Times New Roman"/>
          <w:b/>
          <w:sz w:val="24"/>
          <w:szCs w:val="24"/>
        </w:rPr>
      </w:pPr>
      <w:r w:rsidRPr="00B83239">
        <w:rPr>
          <w:rFonts w:ascii="Times New Roman" w:hAnsi="Times New Roman"/>
          <w:b/>
          <w:sz w:val="24"/>
          <w:szCs w:val="24"/>
        </w:rPr>
        <w:t>ПРИОРИТЕТ VIII: РАЗВ</w:t>
      </w:r>
      <w:r>
        <w:rPr>
          <w:rFonts w:ascii="Times New Roman" w:hAnsi="Times New Roman"/>
          <w:b/>
          <w:sz w:val="24"/>
          <w:szCs w:val="24"/>
        </w:rPr>
        <w:t xml:space="preserve">ИТИЕ НА МЕЖДУКУЛТУРНИЯ И </w:t>
      </w:r>
      <w:r w:rsidRPr="00B83239">
        <w:rPr>
          <w:rFonts w:ascii="Times New Roman" w:hAnsi="Times New Roman"/>
          <w:b/>
          <w:sz w:val="24"/>
          <w:szCs w:val="24"/>
        </w:rPr>
        <w:t>МЕЖДУНАРОДНИЯ ДИАЛОГ</w:t>
      </w:r>
    </w:p>
    <w:p w:rsidR="0064668E" w:rsidRPr="00B83239" w:rsidRDefault="0064668E" w:rsidP="001A3353">
      <w:pPr>
        <w:ind w:firstLine="708"/>
        <w:rPr>
          <w:rFonts w:ascii="Times New Roman" w:hAnsi="Times New Roman"/>
          <w:sz w:val="24"/>
          <w:szCs w:val="24"/>
        </w:rPr>
      </w:pPr>
      <w:r w:rsidRPr="00B83239">
        <w:rPr>
          <w:rFonts w:ascii="Times New Roman" w:hAnsi="Times New Roman"/>
          <w:sz w:val="24"/>
          <w:szCs w:val="24"/>
        </w:rPr>
        <w:t>Във време на нарастваща глобализация, именно свободното движение на младите хора e важен фактор за тяхното развитие.</w:t>
      </w:r>
    </w:p>
    <w:p w:rsidR="0064668E" w:rsidRPr="00B83239" w:rsidRDefault="0064668E" w:rsidP="008D1CAE">
      <w:pPr>
        <w:rPr>
          <w:rFonts w:ascii="Times New Roman" w:hAnsi="Times New Roman"/>
          <w:sz w:val="24"/>
          <w:szCs w:val="24"/>
        </w:rPr>
      </w:pPr>
      <w:r w:rsidRPr="00B83239">
        <w:rPr>
          <w:rFonts w:ascii="Times New Roman" w:hAnsi="Times New Roman"/>
          <w:sz w:val="24"/>
          <w:szCs w:val="24"/>
        </w:rPr>
        <w:t>8.1 АКТИВНОСТ И УЧАСТИЕ НА МЛАДИТЕ ХОРА В МЕЖДУНАРОДНИТЕ ОБРАЗОВАТЕЛНИ ПРОГРАМИ</w:t>
      </w:r>
    </w:p>
    <w:p w:rsidR="0064668E" w:rsidRPr="00B83239" w:rsidRDefault="0064668E" w:rsidP="008D1CAE">
      <w:pPr>
        <w:rPr>
          <w:rFonts w:ascii="Times New Roman" w:hAnsi="Times New Roman"/>
          <w:color w:val="FF0000"/>
          <w:sz w:val="24"/>
          <w:szCs w:val="24"/>
        </w:rPr>
      </w:pPr>
      <w:r w:rsidRPr="00B83239">
        <w:rPr>
          <w:rFonts w:ascii="Times New Roman" w:hAnsi="Times New Roman"/>
          <w:sz w:val="24"/>
          <w:szCs w:val="24"/>
        </w:rPr>
        <w:t>8.1.1 Състояние на индикатора</w:t>
      </w:r>
    </w:p>
    <w:p w:rsidR="0064668E" w:rsidRPr="00B83239" w:rsidRDefault="0064668E" w:rsidP="001A3353">
      <w:pPr>
        <w:ind w:firstLine="708"/>
        <w:jc w:val="both"/>
        <w:rPr>
          <w:rFonts w:ascii="Times New Roman" w:hAnsi="Times New Roman"/>
          <w:sz w:val="24"/>
          <w:szCs w:val="24"/>
        </w:rPr>
      </w:pPr>
      <w:r w:rsidRPr="00B83239">
        <w:rPr>
          <w:rFonts w:ascii="Times New Roman" w:hAnsi="Times New Roman"/>
          <w:sz w:val="24"/>
          <w:szCs w:val="24"/>
        </w:rPr>
        <w:t>Създаването на условия за насърчаване на междукултурния диалог, международната образователна мобилност и активност на младите хора в Община Сунгурларе  е изключително важно за развитието на способностите за общуване, приобщаване, повишаване на нивото на образование, развитие на ключови личностни и професионални компетенции, с цел кариерно развитие и добра реализация на пазара на труда.</w:t>
      </w:r>
    </w:p>
    <w:p w:rsidR="0064668E" w:rsidRPr="00B83239" w:rsidRDefault="0064668E" w:rsidP="001A3353">
      <w:pPr>
        <w:ind w:firstLine="708"/>
        <w:jc w:val="both"/>
        <w:rPr>
          <w:rFonts w:ascii="Times New Roman" w:hAnsi="Times New Roman"/>
          <w:sz w:val="24"/>
          <w:szCs w:val="24"/>
        </w:rPr>
      </w:pPr>
      <w:r w:rsidRPr="00B83239">
        <w:rPr>
          <w:rFonts w:ascii="Times New Roman" w:hAnsi="Times New Roman"/>
          <w:sz w:val="24"/>
          <w:szCs w:val="24"/>
        </w:rPr>
        <w:t>Етническото многообразие и културното наследство са важен фактор за развитието на мултикултурния диалог и съвместното съжителство в дух на толерантност и сътрудничество. През изминалата година са реализирани редица проектни предложения за развитие на междукултурния диалог сред различните етноси в общината и ограничаване на етническото напрежение сред младите хора. Чрез тях се развиват положителни нагласи у младите хора, като се обръща повече внимание на защитата и промоцията на правата на човека. Именно възпитаването на толерантност към различното е полезно поради факта, че се намалява агресията, възпитава се работата в екип и се развива междукултурният опит. Според изследването, сред младите хора в страната се наблюдава разнородно отношение към представители от различен етнос.</w:t>
      </w:r>
    </w:p>
    <w:p w:rsidR="0064668E" w:rsidRPr="00B83239" w:rsidRDefault="0064668E" w:rsidP="008D1CAE">
      <w:pPr>
        <w:rPr>
          <w:rFonts w:ascii="Times New Roman" w:hAnsi="Times New Roman"/>
          <w:sz w:val="24"/>
          <w:szCs w:val="24"/>
        </w:rPr>
      </w:pPr>
      <w:r w:rsidRPr="00B83239">
        <w:rPr>
          <w:rFonts w:ascii="Times New Roman" w:hAnsi="Times New Roman"/>
          <w:sz w:val="24"/>
          <w:szCs w:val="24"/>
        </w:rPr>
        <w:t>8.1.2 Предприети мерки</w:t>
      </w:r>
    </w:p>
    <w:p w:rsidR="0064668E" w:rsidRPr="005F50A7" w:rsidRDefault="0064668E" w:rsidP="005F50A7">
      <w:pPr>
        <w:ind w:firstLine="708"/>
        <w:jc w:val="both"/>
        <w:rPr>
          <w:rFonts w:ascii="Times New Roman" w:hAnsi="Times New Roman"/>
          <w:sz w:val="24"/>
          <w:szCs w:val="24"/>
        </w:rPr>
      </w:pPr>
      <w:r w:rsidRPr="00B83239">
        <w:rPr>
          <w:rFonts w:ascii="Times New Roman" w:hAnsi="Times New Roman"/>
          <w:sz w:val="24"/>
          <w:szCs w:val="24"/>
        </w:rPr>
        <w:t xml:space="preserve">Наблюдава се подобряване на качеството на съвместната работа, взаимодействие и партньорство между неправителствени организации и държавни институции по въпросите за младежта и подобряване на процесите, свързани с насърчаване на междукултурния и международен диалог. През изминалата 2016г в Община Сунгурларе се проведоха  културни фестивали, увеселения, празници  на селото /в 40% от населените маста/, отбеляза се Деня на ромите. </w:t>
      </w:r>
      <w:r w:rsidRPr="00B83239">
        <w:rPr>
          <w:rFonts w:ascii="Times New Roman" w:hAnsi="Times New Roman"/>
          <w:b/>
          <w:color w:val="FF0000"/>
          <w:sz w:val="24"/>
          <w:szCs w:val="24"/>
        </w:rPr>
        <w:t xml:space="preserve"> </w:t>
      </w:r>
    </w:p>
    <w:p w:rsidR="0064668E" w:rsidRPr="00B83239" w:rsidRDefault="0064668E" w:rsidP="0068009C">
      <w:pPr>
        <w:rPr>
          <w:rFonts w:ascii="Times New Roman" w:hAnsi="Times New Roman"/>
          <w:b/>
          <w:sz w:val="24"/>
          <w:szCs w:val="24"/>
        </w:rPr>
      </w:pPr>
      <w:r w:rsidRPr="00B83239">
        <w:rPr>
          <w:rFonts w:ascii="Times New Roman" w:hAnsi="Times New Roman"/>
          <w:b/>
          <w:sz w:val="24"/>
          <w:szCs w:val="24"/>
        </w:rPr>
        <w:t>ПРИОРИТЕТ IX: ПОВИШАВАНЕ РОЛЯТА НА МЛАДИТЕ ХОРА В ПРЕВЕНЦИЯТА НА ПРЕСТЪПНОСТТА</w:t>
      </w:r>
    </w:p>
    <w:p w:rsidR="0064668E" w:rsidRPr="00B83239" w:rsidRDefault="0064668E" w:rsidP="0068009C">
      <w:pPr>
        <w:rPr>
          <w:rFonts w:ascii="Times New Roman" w:hAnsi="Times New Roman"/>
          <w:sz w:val="24"/>
          <w:szCs w:val="24"/>
        </w:rPr>
      </w:pPr>
      <w:r w:rsidRPr="00B83239">
        <w:rPr>
          <w:rFonts w:ascii="Times New Roman" w:hAnsi="Times New Roman"/>
          <w:sz w:val="24"/>
          <w:szCs w:val="24"/>
        </w:rPr>
        <w:t>9.1 ПРАВОНАРУШЕНИЯ, ИЗВЪРШЕНИ ОТ МЛАДИ ХОРА</w:t>
      </w:r>
    </w:p>
    <w:p w:rsidR="0064668E" w:rsidRPr="00B83239" w:rsidRDefault="0064668E" w:rsidP="0068009C">
      <w:pPr>
        <w:rPr>
          <w:rFonts w:ascii="Times New Roman" w:hAnsi="Times New Roman"/>
          <w:sz w:val="24"/>
          <w:szCs w:val="24"/>
        </w:rPr>
      </w:pPr>
      <w:r w:rsidRPr="00B83239">
        <w:rPr>
          <w:rFonts w:ascii="Times New Roman" w:hAnsi="Times New Roman"/>
          <w:sz w:val="24"/>
          <w:szCs w:val="24"/>
        </w:rPr>
        <w:t>9.1.1 Състояние на изследвания индикатор</w:t>
      </w:r>
    </w:p>
    <w:p w:rsidR="0064668E" w:rsidRPr="00B83239" w:rsidRDefault="0064668E" w:rsidP="00202ABC">
      <w:pPr>
        <w:jc w:val="both"/>
        <w:rPr>
          <w:rFonts w:ascii="Times New Roman" w:hAnsi="Times New Roman"/>
          <w:sz w:val="24"/>
          <w:szCs w:val="24"/>
        </w:rPr>
      </w:pPr>
      <w:r w:rsidRPr="00B83239">
        <w:rPr>
          <w:rFonts w:ascii="Times New Roman" w:hAnsi="Times New Roman"/>
          <w:sz w:val="24"/>
          <w:szCs w:val="24"/>
        </w:rPr>
        <w:t>9.1.2 Анализ на състоянието</w:t>
      </w:r>
    </w:p>
    <w:p w:rsidR="0064668E" w:rsidRPr="00B83239" w:rsidRDefault="0064668E" w:rsidP="002577C9">
      <w:pPr>
        <w:ind w:firstLine="708"/>
        <w:jc w:val="both"/>
        <w:rPr>
          <w:rFonts w:ascii="Times New Roman" w:hAnsi="Times New Roman"/>
          <w:sz w:val="24"/>
          <w:szCs w:val="24"/>
        </w:rPr>
      </w:pPr>
      <w:r w:rsidRPr="00B83239">
        <w:rPr>
          <w:rFonts w:ascii="Times New Roman" w:hAnsi="Times New Roman"/>
          <w:sz w:val="24"/>
          <w:szCs w:val="24"/>
        </w:rPr>
        <w:t xml:space="preserve">Безнадзорността  поставя непълнолетните в ситуация на висок криминогенен риск. Безнадзорните деца всекидневно са подложени на физическо, психично и сексуално насилие, недохранване, болести. Нарушени са техни основни права. В същото време те извършват противообществени прояви и престъпления – крадат, употребяват и разпространяват наркотични вещества, проституират, просят, в много случаи проявяват агресия/насилие и нарушават правата на деца и възрастни. </w:t>
      </w:r>
    </w:p>
    <w:p w:rsidR="0064668E" w:rsidRPr="00B83239" w:rsidRDefault="0064668E" w:rsidP="00202ABC">
      <w:pPr>
        <w:ind w:firstLine="708"/>
        <w:jc w:val="both"/>
        <w:rPr>
          <w:rFonts w:ascii="Times New Roman" w:hAnsi="Times New Roman"/>
          <w:sz w:val="24"/>
          <w:szCs w:val="24"/>
        </w:rPr>
      </w:pPr>
      <w:r w:rsidRPr="00B83239">
        <w:rPr>
          <w:rFonts w:ascii="Times New Roman" w:hAnsi="Times New Roman"/>
          <w:sz w:val="24"/>
          <w:szCs w:val="24"/>
        </w:rPr>
        <w:t>Тревога будят данните за насилието в училищата. Сбиванията са ежедневна практика. Колкото и агресивното поведение да е неизменна част от израстването на младежите, данните са сигнал за необходимостта от предприемане на мерки за ограничаване на побоите в училищната среда.</w:t>
      </w:r>
    </w:p>
    <w:p w:rsidR="0064668E" w:rsidRPr="00B83239" w:rsidRDefault="0064668E" w:rsidP="00202ABC">
      <w:pPr>
        <w:ind w:firstLine="708"/>
        <w:jc w:val="both"/>
        <w:rPr>
          <w:rFonts w:ascii="Times New Roman" w:hAnsi="Times New Roman"/>
          <w:sz w:val="24"/>
          <w:szCs w:val="24"/>
        </w:rPr>
      </w:pPr>
      <w:r w:rsidRPr="00B83239">
        <w:rPr>
          <w:rFonts w:ascii="Times New Roman" w:hAnsi="Times New Roman"/>
          <w:sz w:val="24"/>
          <w:szCs w:val="24"/>
        </w:rPr>
        <w:t>Причините за девиантното поведение трябва да се търсят основно в действията или бездействието на родителите, както и в обществото като цяло. Най-рискови се оказват младите хора без родителски контрол (отсъстващи родители, непълни семейства) и ранно отпадналите от образователната система. Не бива да се пренебрегва и влиянието, което оказват и други фактори: социално-икономически, личностни, социокултурни, социално-педагогически, негативното влияние на приятелската среда, фактори, които са свързани с нискатаправна култура и морал.</w:t>
      </w:r>
    </w:p>
    <w:p w:rsidR="0064668E" w:rsidRPr="00B83239" w:rsidRDefault="0064668E" w:rsidP="00F93FEB">
      <w:pPr>
        <w:rPr>
          <w:rFonts w:ascii="Times New Roman" w:hAnsi="Times New Roman"/>
          <w:sz w:val="24"/>
          <w:szCs w:val="24"/>
        </w:rPr>
      </w:pPr>
      <w:r w:rsidRPr="00B83239">
        <w:rPr>
          <w:rFonts w:ascii="Times New Roman" w:hAnsi="Times New Roman"/>
          <w:sz w:val="24"/>
          <w:szCs w:val="24"/>
        </w:rPr>
        <w:t>9.1.3 Предприети мерки</w:t>
      </w:r>
    </w:p>
    <w:p w:rsidR="0064668E" w:rsidRPr="00B83239" w:rsidRDefault="0064668E" w:rsidP="002577C9">
      <w:pPr>
        <w:ind w:firstLine="708"/>
        <w:jc w:val="both"/>
        <w:rPr>
          <w:rFonts w:ascii="Times New Roman" w:hAnsi="Times New Roman"/>
          <w:sz w:val="24"/>
          <w:szCs w:val="24"/>
        </w:rPr>
      </w:pPr>
      <w:r w:rsidRPr="00B83239">
        <w:rPr>
          <w:rFonts w:ascii="Times New Roman" w:hAnsi="Times New Roman"/>
          <w:sz w:val="24"/>
          <w:szCs w:val="24"/>
        </w:rPr>
        <w:t>През 2016 г. институциите в страната продължават последователната си работа, насочена към закрила на непълнолетните и младежите във възрастовата група 15 – 29г., в подкрепа на жертви на престъпни посегателства и полицейска работа с младежи, извършители на криминални престъпления и противообществени прояви, както и дейностите по превенция на младежката престъпност и ограничаване на деморализацията и престъпността сред горепосочената възрастова група. Превенцията и противодействието на детското девиантно поведение са уредени със специален закон - Законът за борба срещу противообществените прояви на малолетните и непълнолетните (ЗБППМН). С този закон са регламентирани дейността и функциите на местната комисия за борба срещу противообществените прояви на малолетните и непълнолетните, социално-педагогически и възпитателни училища от интернатен тип, домове за временно настаняване на малолетни и непълнолетни.  В местната комисия за борба срещу противообществените прояви на малолетните и непълнолетните (МКБППМН) са включени представители на съответните институции на ниво община. Чрез тях се реализира дейността по превенция и противодействие на детското девиантно поведение и корекционно- възпитателната работа. През изминалата 2016г МКБППМН в Община Сунгурларе е разгледала 27 възпитателни дела, 14 постановени решения и наложени възпитателни мерки.</w:t>
      </w:r>
    </w:p>
    <w:p w:rsidR="0064668E" w:rsidRPr="00B83239" w:rsidRDefault="0064668E" w:rsidP="00E05CC2">
      <w:pPr>
        <w:rPr>
          <w:rFonts w:ascii="Times New Roman" w:hAnsi="Times New Roman"/>
          <w:sz w:val="24"/>
          <w:szCs w:val="24"/>
        </w:rPr>
      </w:pPr>
      <w:r w:rsidRPr="00B83239">
        <w:rPr>
          <w:rFonts w:ascii="Times New Roman" w:hAnsi="Times New Roman"/>
          <w:sz w:val="24"/>
          <w:szCs w:val="24"/>
        </w:rPr>
        <w:t>9.2 ПЪТНОТРАНСПОРТНИ ПРОИЗШЕСТВИЯ С УЧАСТИЕ НА МЛАДИ ХОРА</w:t>
      </w:r>
      <w:bookmarkStart w:id="0" w:name="_GoBack"/>
      <w:bookmarkEnd w:id="0"/>
    </w:p>
    <w:p w:rsidR="0064668E" w:rsidRPr="00B83239" w:rsidRDefault="0064668E" w:rsidP="00E05CC2">
      <w:pPr>
        <w:rPr>
          <w:rFonts w:ascii="Times New Roman" w:hAnsi="Times New Roman"/>
          <w:sz w:val="24"/>
          <w:szCs w:val="24"/>
        </w:rPr>
      </w:pPr>
      <w:r w:rsidRPr="00B83239">
        <w:rPr>
          <w:rFonts w:ascii="Times New Roman" w:hAnsi="Times New Roman"/>
          <w:sz w:val="24"/>
          <w:szCs w:val="24"/>
        </w:rPr>
        <w:t>9.2.1 Състояние на изследвания индикатор</w:t>
      </w:r>
    </w:p>
    <w:p w:rsidR="0064668E" w:rsidRPr="00B83239" w:rsidRDefault="0064668E" w:rsidP="005F50A7">
      <w:pPr>
        <w:ind w:firstLine="708"/>
        <w:jc w:val="both"/>
        <w:rPr>
          <w:rFonts w:ascii="Times New Roman" w:hAnsi="Times New Roman"/>
          <w:sz w:val="24"/>
          <w:szCs w:val="24"/>
        </w:rPr>
      </w:pPr>
      <w:r w:rsidRPr="00B83239">
        <w:rPr>
          <w:rFonts w:ascii="Times New Roman" w:hAnsi="Times New Roman"/>
          <w:sz w:val="24"/>
          <w:szCs w:val="24"/>
        </w:rPr>
        <w:t>По данни на Държавно-обществената консултативна комисия по проблемите на безопасността на движението по пътищата през 2016 г. загиналите при пътнотранспортни произшествия  във всички възрастови групи са 660, което е увеличение с 9.8% спрямо предходната 2015 г.</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Основните рискови фактори, поради които настъпват пътнотранспортни произшествия с пострадали млади хора, са:</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 пътувания с леки автомобили на младежки компании, които са превозвани много често от водачи в нетрезво състояние или употребили упойващи вещества;</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-подчертана склонност на младите водачи към високи скорости и рискови изпреварвания, несъответстващи на малкия опит зад волана;</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 неспособност за оценка на риска в движението;</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-често пренебрегване задължението за ползване на предпазни колани, особено на задните седалки в леките автомобили;</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 неизползване на предпазни каски като мотоциклетисти и мотопедисти, както и превозване на деца в автомобили без използване на обезопасителни столчета и седалки;</w:t>
      </w:r>
    </w:p>
    <w:p w:rsidR="0064668E" w:rsidRPr="00B83239" w:rsidRDefault="0064668E" w:rsidP="00DF011E">
      <w:pPr>
        <w:jc w:val="both"/>
        <w:rPr>
          <w:rFonts w:ascii="Times New Roman" w:hAnsi="Times New Roman"/>
          <w:sz w:val="24"/>
          <w:szCs w:val="24"/>
        </w:rPr>
      </w:pPr>
      <w:r w:rsidRPr="00B83239">
        <w:rPr>
          <w:rFonts w:ascii="Times New Roman" w:hAnsi="Times New Roman"/>
          <w:sz w:val="24"/>
          <w:szCs w:val="24"/>
        </w:rPr>
        <w:t>- управление на МПС от голяма част от юношите и младежите без необходимата правоспособност.</w:t>
      </w:r>
    </w:p>
    <w:p w:rsidR="0064668E" w:rsidRPr="00B83239" w:rsidRDefault="0064668E" w:rsidP="00B83239">
      <w:pPr>
        <w:ind w:firstLine="708"/>
        <w:jc w:val="both"/>
        <w:rPr>
          <w:rFonts w:ascii="Times New Roman" w:hAnsi="Times New Roman"/>
          <w:sz w:val="24"/>
          <w:szCs w:val="24"/>
        </w:rPr>
      </w:pPr>
      <w:r w:rsidRPr="00B83239">
        <w:rPr>
          <w:rFonts w:ascii="Times New Roman" w:hAnsi="Times New Roman"/>
          <w:color w:val="FF0000"/>
          <w:sz w:val="24"/>
          <w:szCs w:val="24"/>
        </w:rPr>
        <w:t xml:space="preserve"> </w:t>
      </w:r>
      <w:r w:rsidRPr="00B83239">
        <w:rPr>
          <w:rFonts w:ascii="Times New Roman" w:hAnsi="Times New Roman"/>
          <w:sz w:val="24"/>
          <w:szCs w:val="24"/>
        </w:rPr>
        <w:t>В Община Сунгурларе през 2016 г. се осъществява комплекс от организационни и практически мерки за изпълнение на приоритетни задачи по Националната стратегия за младежта (2010-2020). Успешно са проведени традиционните кампании за превенция и намаляване на пътнотранспортните произшествия с деца и юноши –  „ Да пазим живота на децата на пътя“. Във връзка с организиране на програми за пътна безопасност в училищата  през 2016 г. са проведени  лекции в часовете на класните ръководители, съвместно с представители на РУ „Полиция“. Организирани са следните кампании и инициативи - Програма „Безопасност на движението в часа на класа“, Викторина „Да запазим децата на пътя”, Майсторско управление на велосипеди, Инициативи за реализиране на програми за пътна безопасност, Провеждане на ежегодни кампании за пътна безопасност;</w:t>
      </w:r>
    </w:p>
    <w:p w:rsidR="0064668E" w:rsidRPr="00B83239" w:rsidRDefault="0064668E" w:rsidP="00230BDC">
      <w:pPr>
        <w:ind w:firstLine="708"/>
        <w:jc w:val="both"/>
        <w:rPr>
          <w:rFonts w:ascii="Times New Roman" w:hAnsi="Times New Roman"/>
          <w:sz w:val="24"/>
          <w:szCs w:val="24"/>
        </w:rPr>
      </w:pPr>
      <w:r w:rsidRPr="00B83239">
        <w:rPr>
          <w:rFonts w:ascii="Times New Roman" w:hAnsi="Times New Roman"/>
          <w:sz w:val="24"/>
          <w:szCs w:val="24"/>
        </w:rPr>
        <w:t xml:space="preserve">През 2016г Община Сунгурларе отбеляза Европейския ден без загинали на пътя – операция </w:t>
      </w:r>
      <w:r w:rsidRPr="00B83239">
        <w:rPr>
          <w:rFonts w:ascii="Times New Roman" w:hAnsi="Times New Roman"/>
          <w:sz w:val="24"/>
          <w:szCs w:val="24"/>
          <w:lang w:val="en-US"/>
        </w:rPr>
        <w:t>EDWARD</w:t>
      </w:r>
      <w:r w:rsidRPr="00B83239">
        <w:rPr>
          <w:rFonts w:ascii="Times New Roman" w:hAnsi="Times New Roman"/>
          <w:sz w:val="24"/>
          <w:szCs w:val="24"/>
          <w:lang w:val="ru-RU"/>
        </w:rPr>
        <w:t>-</w:t>
      </w:r>
      <w:r w:rsidRPr="00B83239">
        <w:rPr>
          <w:rFonts w:ascii="Times New Roman" w:hAnsi="Times New Roman"/>
          <w:sz w:val="24"/>
          <w:szCs w:val="24"/>
          <w:lang w:val="en-US"/>
        </w:rPr>
        <w:t>European</w:t>
      </w:r>
      <w:r w:rsidRPr="00B83239">
        <w:rPr>
          <w:rFonts w:ascii="Times New Roman" w:hAnsi="Times New Roman"/>
          <w:sz w:val="24"/>
          <w:szCs w:val="24"/>
          <w:lang w:val="ru-RU"/>
        </w:rPr>
        <w:t xml:space="preserve"> </w:t>
      </w:r>
      <w:r w:rsidRPr="00B83239">
        <w:rPr>
          <w:rFonts w:ascii="Times New Roman" w:hAnsi="Times New Roman"/>
          <w:sz w:val="24"/>
          <w:szCs w:val="24"/>
          <w:lang w:val="en-US"/>
        </w:rPr>
        <w:t>Day</w:t>
      </w:r>
      <w:r w:rsidRPr="00B83239">
        <w:rPr>
          <w:rFonts w:ascii="Times New Roman" w:hAnsi="Times New Roman"/>
          <w:sz w:val="24"/>
          <w:szCs w:val="24"/>
          <w:lang w:val="ru-RU"/>
        </w:rPr>
        <w:t xml:space="preserve"> </w:t>
      </w:r>
      <w:r w:rsidRPr="00B83239">
        <w:rPr>
          <w:rFonts w:ascii="Times New Roman" w:hAnsi="Times New Roman"/>
          <w:sz w:val="24"/>
          <w:szCs w:val="24"/>
          <w:lang w:val="en-US"/>
        </w:rPr>
        <w:t>Without</w:t>
      </w:r>
      <w:r w:rsidRPr="00B83239">
        <w:rPr>
          <w:rFonts w:ascii="Times New Roman" w:hAnsi="Times New Roman"/>
          <w:sz w:val="24"/>
          <w:szCs w:val="24"/>
          <w:lang w:val="ru-RU"/>
        </w:rPr>
        <w:t xml:space="preserve"> </w:t>
      </w:r>
      <w:r w:rsidRPr="00B83239">
        <w:rPr>
          <w:rFonts w:ascii="Times New Roman" w:hAnsi="Times New Roman"/>
          <w:sz w:val="24"/>
          <w:szCs w:val="24"/>
          <w:lang w:val="en-US"/>
        </w:rPr>
        <w:t>A</w:t>
      </w:r>
      <w:r w:rsidRPr="00B83239">
        <w:rPr>
          <w:rFonts w:ascii="Times New Roman" w:hAnsi="Times New Roman"/>
          <w:sz w:val="24"/>
          <w:szCs w:val="24"/>
          <w:lang w:val="ru-RU"/>
        </w:rPr>
        <w:t xml:space="preserve"> </w:t>
      </w:r>
      <w:r w:rsidRPr="00B83239">
        <w:rPr>
          <w:rFonts w:ascii="Times New Roman" w:hAnsi="Times New Roman"/>
          <w:sz w:val="24"/>
          <w:szCs w:val="24"/>
          <w:lang w:val="en-US"/>
        </w:rPr>
        <w:t>Road</w:t>
      </w:r>
      <w:r w:rsidRPr="00B83239">
        <w:rPr>
          <w:rFonts w:ascii="Times New Roman" w:hAnsi="Times New Roman"/>
          <w:sz w:val="24"/>
          <w:szCs w:val="24"/>
          <w:lang w:val="ru-RU"/>
        </w:rPr>
        <w:t xml:space="preserve">  </w:t>
      </w:r>
      <w:r w:rsidRPr="00B83239">
        <w:rPr>
          <w:rFonts w:ascii="Times New Roman" w:hAnsi="Times New Roman"/>
          <w:sz w:val="24"/>
          <w:szCs w:val="24"/>
          <w:lang w:val="en-US"/>
        </w:rPr>
        <w:t>Death</w:t>
      </w:r>
      <w:r w:rsidRPr="00B83239">
        <w:rPr>
          <w:rFonts w:ascii="Times New Roman" w:hAnsi="Times New Roman"/>
          <w:sz w:val="24"/>
          <w:szCs w:val="24"/>
          <w:lang w:val="ru-RU"/>
        </w:rPr>
        <w:t>.Координатор на операцията е Главна дирекция «Национална полиция» на МВР. Съвместно с 15 ученици от СУ «Хр.Ботев» се отбеляза и Световния ден на възпоменание за жертвите от пътнотранспортни произшествия.</w:t>
      </w:r>
    </w:p>
    <w:p w:rsidR="0064668E" w:rsidRPr="00B83239" w:rsidRDefault="0064668E" w:rsidP="00E05CC2">
      <w:pPr>
        <w:rPr>
          <w:rFonts w:ascii="Times New Roman" w:hAnsi="Times New Roman"/>
          <w:color w:val="FF0000"/>
          <w:sz w:val="24"/>
          <w:szCs w:val="24"/>
        </w:rPr>
      </w:pPr>
    </w:p>
    <w:sectPr w:rsidR="0064668E" w:rsidRPr="00B83239" w:rsidSect="00C370DE">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63D"/>
    <w:rsid w:val="00016D09"/>
    <w:rsid w:val="00021108"/>
    <w:rsid w:val="000725FE"/>
    <w:rsid w:val="000C14CA"/>
    <w:rsid w:val="000C6604"/>
    <w:rsid w:val="000D0890"/>
    <w:rsid w:val="000D1879"/>
    <w:rsid w:val="000E1E80"/>
    <w:rsid w:val="00134CB0"/>
    <w:rsid w:val="00160E98"/>
    <w:rsid w:val="001A3353"/>
    <w:rsid w:val="001D09D5"/>
    <w:rsid w:val="001F5348"/>
    <w:rsid w:val="00202ABC"/>
    <w:rsid w:val="00230BDC"/>
    <w:rsid w:val="002336C3"/>
    <w:rsid w:val="00237F60"/>
    <w:rsid w:val="00241CC1"/>
    <w:rsid w:val="002577C9"/>
    <w:rsid w:val="00266A9C"/>
    <w:rsid w:val="002675F3"/>
    <w:rsid w:val="002851FB"/>
    <w:rsid w:val="00285BB7"/>
    <w:rsid w:val="00292A7A"/>
    <w:rsid w:val="002A15C4"/>
    <w:rsid w:val="002C53A8"/>
    <w:rsid w:val="0033354A"/>
    <w:rsid w:val="00340095"/>
    <w:rsid w:val="0035015B"/>
    <w:rsid w:val="00375409"/>
    <w:rsid w:val="00381864"/>
    <w:rsid w:val="003A3D2F"/>
    <w:rsid w:val="00401C08"/>
    <w:rsid w:val="00420EE1"/>
    <w:rsid w:val="00463EE9"/>
    <w:rsid w:val="00467DC8"/>
    <w:rsid w:val="004C0DAB"/>
    <w:rsid w:val="004C54BF"/>
    <w:rsid w:val="004D3031"/>
    <w:rsid w:val="00512A35"/>
    <w:rsid w:val="00514E3F"/>
    <w:rsid w:val="00516111"/>
    <w:rsid w:val="0052163D"/>
    <w:rsid w:val="00527649"/>
    <w:rsid w:val="005661FD"/>
    <w:rsid w:val="005765AF"/>
    <w:rsid w:val="005A0D92"/>
    <w:rsid w:val="005B4751"/>
    <w:rsid w:val="005E5EDD"/>
    <w:rsid w:val="005F50A7"/>
    <w:rsid w:val="00640ADD"/>
    <w:rsid w:val="0064668E"/>
    <w:rsid w:val="0065550D"/>
    <w:rsid w:val="0067211D"/>
    <w:rsid w:val="0068009C"/>
    <w:rsid w:val="006C2794"/>
    <w:rsid w:val="006E1FBD"/>
    <w:rsid w:val="007859FA"/>
    <w:rsid w:val="00793F6D"/>
    <w:rsid w:val="007A0A9F"/>
    <w:rsid w:val="007E5A83"/>
    <w:rsid w:val="007F3C86"/>
    <w:rsid w:val="007F6FC6"/>
    <w:rsid w:val="00826E7D"/>
    <w:rsid w:val="0086515A"/>
    <w:rsid w:val="00884BA9"/>
    <w:rsid w:val="00891182"/>
    <w:rsid w:val="008955FA"/>
    <w:rsid w:val="008B7802"/>
    <w:rsid w:val="008D1CAE"/>
    <w:rsid w:val="008F2015"/>
    <w:rsid w:val="009001A4"/>
    <w:rsid w:val="009D795A"/>
    <w:rsid w:val="009E54FC"/>
    <w:rsid w:val="009F38CA"/>
    <w:rsid w:val="00A134FC"/>
    <w:rsid w:val="00A40947"/>
    <w:rsid w:val="00A65960"/>
    <w:rsid w:val="00A8371D"/>
    <w:rsid w:val="00AB3DAE"/>
    <w:rsid w:val="00AB515D"/>
    <w:rsid w:val="00B011A9"/>
    <w:rsid w:val="00B0613D"/>
    <w:rsid w:val="00B2002E"/>
    <w:rsid w:val="00B405E4"/>
    <w:rsid w:val="00B72634"/>
    <w:rsid w:val="00B83239"/>
    <w:rsid w:val="00BA14D2"/>
    <w:rsid w:val="00BA213A"/>
    <w:rsid w:val="00BA31C7"/>
    <w:rsid w:val="00BB2C0D"/>
    <w:rsid w:val="00C370DE"/>
    <w:rsid w:val="00C52083"/>
    <w:rsid w:val="00C64785"/>
    <w:rsid w:val="00C922CF"/>
    <w:rsid w:val="00CC0D57"/>
    <w:rsid w:val="00D52234"/>
    <w:rsid w:val="00D70BCF"/>
    <w:rsid w:val="00D8582E"/>
    <w:rsid w:val="00DF011E"/>
    <w:rsid w:val="00E00D31"/>
    <w:rsid w:val="00E05CC2"/>
    <w:rsid w:val="00E064E6"/>
    <w:rsid w:val="00E27C9D"/>
    <w:rsid w:val="00E32CCB"/>
    <w:rsid w:val="00E34457"/>
    <w:rsid w:val="00E41D94"/>
    <w:rsid w:val="00EE0B8F"/>
    <w:rsid w:val="00F26D0E"/>
    <w:rsid w:val="00F93FEB"/>
    <w:rsid w:val="00FA24AD"/>
    <w:rsid w:val="00FB4453"/>
    <w:rsid w:val="00FE689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60E9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323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131241">
      <w:marLeft w:val="0"/>
      <w:marRight w:val="0"/>
      <w:marTop w:val="0"/>
      <w:marBottom w:val="0"/>
      <w:divBdr>
        <w:top w:val="none" w:sz="0" w:space="0" w:color="auto"/>
        <w:left w:val="none" w:sz="0" w:space="0" w:color="auto"/>
        <w:bottom w:val="none" w:sz="0" w:space="0" w:color="auto"/>
        <w:right w:val="none" w:sz="0" w:space="0" w:color="auto"/>
      </w:divBdr>
    </w:div>
    <w:div w:id="163131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etsungurlare@abv.b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18</Pages>
  <Words>6811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Годишния доклад за младежта</dc:title>
  <dc:subject/>
  <dc:creator>user</dc:creator>
  <cp:keywords/>
  <dc:description/>
  <cp:lastModifiedBy>user</cp:lastModifiedBy>
  <cp:revision>7</cp:revision>
  <dcterms:created xsi:type="dcterms:W3CDTF">2017-01-27T11:08:00Z</dcterms:created>
  <dcterms:modified xsi:type="dcterms:W3CDTF">2017-02-08T08:46:00Z</dcterms:modified>
</cp:coreProperties>
</file>